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F13A" w14:textId="77777777" w:rsidR="006059A0" w:rsidRPr="00E3195F" w:rsidRDefault="006059A0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b/>
          <w:bCs/>
          <w:sz w:val="20"/>
          <w:szCs w:val="20"/>
        </w:rPr>
      </w:pPr>
      <w:r w:rsidRPr="00E3195F">
        <w:rPr>
          <w:rFonts w:asciiTheme="minorHAnsi" w:hAnsiTheme="minorHAnsi" w:cstheme="minorHAnsi"/>
          <w:b/>
          <w:bCs/>
          <w:sz w:val="20"/>
          <w:szCs w:val="20"/>
        </w:rPr>
        <w:t>02 Koinzidenzmethode</w:t>
      </w:r>
    </w:p>
    <w:p w14:paraId="2A380DF2" w14:textId="77777777" w:rsidR="006059A0" w:rsidRPr="00E3195F" w:rsidRDefault="006059A0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noProof/>
          <w:sz w:val="18"/>
          <w:szCs w:val="18"/>
        </w:rPr>
      </w:pPr>
    </w:p>
    <w:p w14:paraId="437BC884" w14:textId="77777777" w:rsidR="002E36B0" w:rsidRPr="00E3195F" w:rsidRDefault="002E36B0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noProof/>
          <w:sz w:val="18"/>
          <w:szCs w:val="18"/>
        </w:rPr>
      </w:pPr>
      <w:r w:rsidRPr="00E3195F">
        <w:rPr>
          <w:rFonts w:asciiTheme="minorHAnsi" w:hAnsiTheme="minorHAnsi" w:cstheme="minorHAnsi"/>
          <w:noProof/>
          <w:sz w:val="18"/>
          <w:szCs w:val="18"/>
        </w:rPr>
        <w:t>Die folgende Simulation illustr</w:t>
      </w:r>
      <w:r w:rsidR="00E87F3C">
        <w:rPr>
          <w:rFonts w:asciiTheme="minorHAnsi" w:hAnsiTheme="minorHAnsi" w:cstheme="minorHAnsi"/>
          <w:noProof/>
          <w:sz w:val="18"/>
          <w:szCs w:val="18"/>
        </w:rPr>
        <w:t>ier</w:t>
      </w:r>
      <w:r w:rsidRPr="00E3195F">
        <w:rPr>
          <w:rFonts w:asciiTheme="minorHAnsi" w:hAnsiTheme="minorHAnsi" w:cstheme="minorHAnsi"/>
          <w:noProof/>
          <w:sz w:val="18"/>
          <w:szCs w:val="18"/>
        </w:rPr>
        <w:t>t die Vorgänge bei der Koinzidenzmethode.</w:t>
      </w:r>
    </w:p>
    <w:p w14:paraId="7EC8545B" w14:textId="77777777" w:rsidR="00E222E4" w:rsidRPr="00E3195F" w:rsidRDefault="00E222E4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noProof/>
          <w:sz w:val="18"/>
          <w:szCs w:val="18"/>
        </w:rPr>
      </w:pPr>
    </w:p>
    <w:p w14:paraId="6659102E" w14:textId="77777777" w:rsidR="00595E10" w:rsidRPr="00E3195F" w:rsidRDefault="00E44755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sz w:val="18"/>
          <w:szCs w:val="18"/>
        </w:rPr>
      </w:pPr>
      <w:r w:rsidRPr="00E3195F">
        <w:rPr>
          <w:rFonts w:asciiTheme="minorHAnsi" w:hAnsiTheme="minorHAnsi" w:cstheme="minorHAnsi"/>
          <w:noProof/>
          <w:sz w:val="18"/>
          <w:szCs w:val="18"/>
          <w:lang w:eastAsia="de-DE"/>
        </w:rPr>
        <w:drawing>
          <wp:anchor distT="0" distB="0" distL="114300" distR="114300" simplePos="0" relativeHeight="251655680" behindDoc="0" locked="0" layoutInCell="1" allowOverlap="1" wp14:anchorId="7EF8A345" wp14:editId="7F4A9289">
            <wp:simplePos x="0" y="0"/>
            <wp:positionH relativeFrom="column">
              <wp:posOffset>4627647</wp:posOffset>
            </wp:positionH>
            <wp:positionV relativeFrom="paragraph">
              <wp:posOffset>724328</wp:posOffset>
            </wp:positionV>
            <wp:extent cx="1252773" cy="1222310"/>
            <wp:effectExtent l="0" t="0" r="5080" b="0"/>
            <wp:wrapNone/>
            <wp:docPr id="1087204347" name="Grafik 1" descr="Ein Bild, das Muster, Quadrat, nähen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204347" name="Grafik 1" descr="Ein Bild, das Muster, Quadrat, nähen, Pixel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773" cy="122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5E10" w:rsidRPr="00E3195F">
        <w:rPr>
          <w:rFonts w:asciiTheme="minorHAnsi" w:hAnsiTheme="minorHAnsi" w:cstheme="minorHAnsi"/>
          <w:noProof/>
          <w:sz w:val="18"/>
          <w:szCs w:val="18"/>
          <w:lang w:eastAsia="de-DE"/>
        </w:rPr>
        <w:drawing>
          <wp:inline distT="0" distB="0" distL="0" distR="0" wp14:anchorId="46899025" wp14:editId="266BA493">
            <wp:extent cx="4194110" cy="2746169"/>
            <wp:effectExtent l="0" t="0" r="0" b="0"/>
            <wp:docPr id="1826346030" name="Grafik 1" descr="Ein Bild, das Text, Screenshot, Diagramm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346030" name="Grafik 1" descr="Ein Bild, das Text, Screenshot, Diagramm, Schrift enthält.&#10;&#10;Automatisch generierte Beschreibu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332" cy="275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195F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p w14:paraId="01CEAEEC" w14:textId="77777777" w:rsidR="00330BCC" w:rsidRPr="00E3195F" w:rsidRDefault="00AC04DD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sz w:val="18"/>
          <w:szCs w:val="18"/>
        </w:rPr>
      </w:pPr>
      <w:hyperlink r:id="rId10" w:history="1">
        <w:r w:rsidR="00033171" w:rsidRPr="00E3195F">
          <w:rPr>
            <w:rStyle w:val="Hyperlink"/>
            <w:rFonts w:asciiTheme="minorHAnsi" w:hAnsiTheme="minorHAnsi" w:cstheme="minorHAnsi"/>
            <w:color w:val="auto"/>
            <w:sz w:val="18"/>
            <w:szCs w:val="18"/>
          </w:rPr>
          <w:t>https://www.st-andrews.ac.uk/physics/quvis/de/simulations/sims/photons-particles-waves-de/photons-particles-waves-de.html</w:t>
        </w:r>
      </w:hyperlink>
    </w:p>
    <w:p w14:paraId="71195106" w14:textId="77777777" w:rsidR="00033171" w:rsidRPr="00E3195F" w:rsidRDefault="00033171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sz w:val="18"/>
          <w:szCs w:val="18"/>
        </w:rPr>
      </w:pPr>
    </w:p>
    <w:p w14:paraId="73464359" w14:textId="77777777" w:rsidR="00496D16" w:rsidRPr="00E3195F" w:rsidRDefault="00913AE9" w:rsidP="00E53192">
      <w:pPr>
        <w:pStyle w:val="Listenabsatz"/>
        <w:numPr>
          <w:ilvl w:val="0"/>
          <w:numId w:val="9"/>
        </w:numPr>
        <w:spacing w:after="120" w:line="240" w:lineRule="auto"/>
        <w:ind w:left="284" w:hanging="284"/>
        <w:contextualSpacing w:val="0"/>
        <w:rPr>
          <w:rFonts w:asciiTheme="minorHAnsi" w:hAnsiTheme="minorHAnsi" w:cstheme="minorHAnsi"/>
          <w:sz w:val="18"/>
          <w:szCs w:val="18"/>
        </w:rPr>
      </w:pPr>
      <w:r w:rsidRPr="00E3195F">
        <w:rPr>
          <w:rFonts w:asciiTheme="minorHAnsi" w:hAnsiTheme="minorHAnsi" w:cstheme="minorHAnsi"/>
          <w:sz w:val="18"/>
          <w:szCs w:val="18"/>
        </w:rPr>
        <w:t>Öffnen</w:t>
      </w:r>
      <w:r w:rsidR="003E7119" w:rsidRPr="00E3195F">
        <w:rPr>
          <w:rFonts w:asciiTheme="minorHAnsi" w:hAnsiTheme="minorHAnsi" w:cstheme="minorHAnsi"/>
          <w:sz w:val="18"/>
          <w:szCs w:val="18"/>
        </w:rPr>
        <w:t xml:space="preserve"> Sie</w:t>
      </w:r>
      <w:r w:rsidR="00496D16" w:rsidRPr="00E3195F">
        <w:rPr>
          <w:rFonts w:asciiTheme="minorHAnsi" w:hAnsiTheme="minorHAnsi" w:cstheme="minorHAnsi"/>
          <w:sz w:val="18"/>
          <w:szCs w:val="18"/>
        </w:rPr>
        <w:t xml:space="preserve"> </w:t>
      </w:r>
      <w:r w:rsidRPr="00E3195F">
        <w:rPr>
          <w:rFonts w:asciiTheme="minorHAnsi" w:hAnsiTheme="minorHAnsi" w:cstheme="minorHAnsi"/>
          <w:sz w:val="18"/>
          <w:szCs w:val="18"/>
        </w:rPr>
        <w:t>die</w:t>
      </w:r>
      <w:r w:rsidR="00496D16" w:rsidRPr="00E3195F">
        <w:rPr>
          <w:rFonts w:asciiTheme="minorHAnsi" w:hAnsiTheme="minorHAnsi" w:cstheme="minorHAnsi"/>
          <w:sz w:val="18"/>
          <w:szCs w:val="18"/>
        </w:rPr>
        <w:t xml:space="preserve"> Simulation</w:t>
      </w:r>
      <w:r w:rsidR="003E7119" w:rsidRPr="00E3195F">
        <w:rPr>
          <w:rFonts w:asciiTheme="minorHAnsi" w:hAnsiTheme="minorHAnsi" w:cstheme="minorHAnsi"/>
          <w:sz w:val="18"/>
          <w:szCs w:val="18"/>
        </w:rPr>
        <w:t>. Wä</w:t>
      </w:r>
      <w:r w:rsidR="00E81B34" w:rsidRPr="00E3195F">
        <w:rPr>
          <w:rFonts w:asciiTheme="minorHAnsi" w:hAnsiTheme="minorHAnsi" w:cstheme="minorHAnsi"/>
          <w:sz w:val="18"/>
          <w:szCs w:val="18"/>
        </w:rPr>
        <w:t>hle</w:t>
      </w:r>
      <w:r w:rsidR="00A87A65" w:rsidRPr="00E3195F">
        <w:rPr>
          <w:rFonts w:asciiTheme="minorHAnsi" w:hAnsiTheme="minorHAnsi" w:cstheme="minorHAnsi"/>
          <w:sz w:val="18"/>
          <w:szCs w:val="18"/>
        </w:rPr>
        <w:t>n Sie</w:t>
      </w:r>
      <w:r w:rsidR="00E81B34" w:rsidRPr="00E3195F">
        <w:rPr>
          <w:rFonts w:asciiTheme="minorHAnsi" w:hAnsiTheme="minorHAnsi" w:cstheme="minorHAnsi"/>
          <w:sz w:val="18"/>
          <w:szCs w:val="18"/>
        </w:rPr>
        <w:t xml:space="preserve"> </w:t>
      </w:r>
      <w:r w:rsidR="00A261AA" w:rsidRPr="00E3195F">
        <w:rPr>
          <w:rFonts w:asciiTheme="minorHAnsi" w:hAnsiTheme="minorHAnsi" w:cstheme="minorHAnsi"/>
          <w:sz w:val="18"/>
          <w:szCs w:val="18"/>
        </w:rPr>
        <w:t>die Option</w:t>
      </w:r>
      <w:r w:rsidR="009547C4" w:rsidRPr="00E3195F">
        <w:rPr>
          <w:rFonts w:asciiTheme="minorHAnsi" w:hAnsiTheme="minorHAnsi" w:cstheme="minorHAnsi"/>
          <w:sz w:val="18"/>
          <w:szCs w:val="18"/>
        </w:rPr>
        <w:t>en „Steuerung“ und</w:t>
      </w:r>
      <w:r w:rsidR="00A261AA" w:rsidRPr="00E3195F">
        <w:rPr>
          <w:rFonts w:asciiTheme="minorHAnsi" w:hAnsiTheme="minorHAnsi" w:cstheme="minorHAnsi"/>
          <w:sz w:val="18"/>
          <w:szCs w:val="18"/>
        </w:rPr>
        <w:t xml:space="preserve"> „einzelne Photonen“ aus</w:t>
      </w:r>
      <w:r w:rsidR="00A87A65" w:rsidRPr="00E3195F">
        <w:rPr>
          <w:rFonts w:asciiTheme="minorHAnsi" w:hAnsiTheme="minorHAnsi" w:cstheme="minorHAnsi"/>
          <w:sz w:val="18"/>
          <w:szCs w:val="18"/>
        </w:rPr>
        <w:t>.</w:t>
      </w:r>
      <w:r w:rsidR="005925C2" w:rsidRPr="00E3195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9929AF3" w14:textId="77777777" w:rsidR="00DD09CF" w:rsidRPr="00E3195F" w:rsidRDefault="005E68F0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sz w:val="18"/>
          <w:szCs w:val="18"/>
        </w:rPr>
      </w:pPr>
      <w:r w:rsidRPr="00E3195F">
        <w:rPr>
          <w:rFonts w:asciiTheme="minorHAnsi" w:hAnsiTheme="minorHAnsi" w:cstheme="minorHAnsi"/>
          <w:sz w:val="18"/>
          <w:szCs w:val="18"/>
        </w:rPr>
        <w:t xml:space="preserve">Vergleichen Sie den Aufbau der Simulation mit dem </w:t>
      </w:r>
      <w:r w:rsidR="002B2977">
        <w:rPr>
          <w:rFonts w:asciiTheme="minorHAnsi" w:hAnsiTheme="minorHAnsi" w:cstheme="minorHAnsi"/>
          <w:sz w:val="18"/>
          <w:szCs w:val="18"/>
        </w:rPr>
        <w:t>Reale</w:t>
      </w:r>
      <w:r w:rsidR="00734484" w:rsidRPr="00E3195F">
        <w:rPr>
          <w:rFonts w:asciiTheme="minorHAnsi" w:hAnsiTheme="minorHAnsi" w:cstheme="minorHAnsi"/>
          <w:sz w:val="18"/>
          <w:szCs w:val="18"/>
        </w:rPr>
        <w:t>xperiment</w:t>
      </w:r>
      <w:r w:rsidR="00591991" w:rsidRPr="00E3195F">
        <w:rPr>
          <w:rFonts w:asciiTheme="minorHAnsi" w:hAnsiTheme="minorHAnsi" w:cstheme="minorHAnsi"/>
          <w:sz w:val="18"/>
          <w:szCs w:val="18"/>
        </w:rPr>
        <w:t xml:space="preserve"> aus dem Video</w:t>
      </w:r>
      <w:r w:rsidR="00496D16" w:rsidRPr="00E3195F">
        <w:rPr>
          <w:rFonts w:asciiTheme="minorHAnsi" w:hAnsiTheme="minorHAnsi" w:cstheme="minorHAnsi"/>
          <w:sz w:val="18"/>
          <w:szCs w:val="18"/>
        </w:rPr>
        <w:t>.</w:t>
      </w:r>
    </w:p>
    <w:p w14:paraId="384F5297" w14:textId="77777777" w:rsidR="007637F9" w:rsidRPr="00E81F8A" w:rsidRDefault="007637F9" w:rsidP="007637F9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color w:val="00B050"/>
          <w:sz w:val="18"/>
          <w:szCs w:val="18"/>
        </w:rPr>
      </w:pPr>
      <w:r>
        <w:rPr>
          <w:rFonts w:asciiTheme="minorHAnsi" w:hAnsiTheme="minorHAnsi" w:cstheme="minorHAnsi"/>
          <w:color w:val="00B050"/>
          <w:sz w:val="18"/>
          <w:szCs w:val="18"/>
        </w:rPr>
        <w:t>Die Photonen treffen wie im Experiment auf einen Strahlteiler und es existieren zwei Detektoren</w:t>
      </w:r>
      <w:r w:rsidR="003F34DD">
        <w:rPr>
          <w:rFonts w:asciiTheme="minorHAnsi" w:hAnsiTheme="minorHAnsi" w:cstheme="minorHAnsi"/>
          <w:color w:val="00B050"/>
          <w:sz w:val="18"/>
          <w:szCs w:val="18"/>
        </w:rPr>
        <w:t>, einer</w:t>
      </w:r>
      <w:r>
        <w:rPr>
          <w:rFonts w:asciiTheme="minorHAnsi" w:hAnsiTheme="minorHAnsi" w:cstheme="minorHAnsi"/>
          <w:color w:val="00B050"/>
          <w:sz w:val="18"/>
          <w:szCs w:val="18"/>
        </w:rPr>
        <w:t xml:space="preserve"> für den Fall „Transmission“</w:t>
      </w:r>
      <w:r w:rsidR="003F34DD">
        <w:rPr>
          <w:rFonts w:asciiTheme="minorHAnsi" w:hAnsiTheme="minorHAnsi" w:cstheme="minorHAnsi"/>
          <w:color w:val="00B050"/>
          <w:sz w:val="18"/>
          <w:szCs w:val="18"/>
        </w:rPr>
        <w:t xml:space="preserve"> (Detektor 1)</w:t>
      </w:r>
      <w:r>
        <w:rPr>
          <w:rFonts w:asciiTheme="minorHAnsi" w:hAnsiTheme="minorHAnsi" w:cstheme="minorHAnsi"/>
          <w:color w:val="00B050"/>
          <w:sz w:val="18"/>
          <w:szCs w:val="18"/>
        </w:rPr>
        <w:t xml:space="preserve"> und</w:t>
      </w:r>
      <w:r w:rsidR="003F34DD">
        <w:rPr>
          <w:rFonts w:asciiTheme="minorHAnsi" w:hAnsiTheme="minorHAnsi" w:cstheme="minorHAnsi"/>
          <w:color w:val="00B050"/>
          <w:sz w:val="18"/>
          <w:szCs w:val="18"/>
        </w:rPr>
        <w:t xml:space="preserve"> einer für den Fall</w:t>
      </w:r>
      <w:r>
        <w:rPr>
          <w:rFonts w:asciiTheme="minorHAnsi" w:hAnsiTheme="minorHAnsi" w:cstheme="minorHAnsi"/>
          <w:color w:val="00B050"/>
          <w:sz w:val="18"/>
          <w:szCs w:val="18"/>
        </w:rPr>
        <w:t xml:space="preserve"> „Reflexion“</w:t>
      </w:r>
      <w:r w:rsidR="003F34DD">
        <w:rPr>
          <w:rFonts w:asciiTheme="minorHAnsi" w:hAnsiTheme="minorHAnsi" w:cstheme="minorHAnsi"/>
          <w:color w:val="00B050"/>
          <w:sz w:val="18"/>
          <w:szCs w:val="18"/>
        </w:rPr>
        <w:t xml:space="preserve"> (Detektor 2)</w:t>
      </w:r>
      <w:r>
        <w:rPr>
          <w:rFonts w:asciiTheme="minorHAnsi" w:hAnsiTheme="minorHAnsi" w:cstheme="minorHAnsi"/>
          <w:color w:val="00B050"/>
          <w:sz w:val="18"/>
          <w:szCs w:val="18"/>
        </w:rPr>
        <w:t>.</w:t>
      </w:r>
    </w:p>
    <w:p w14:paraId="56203D6D" w14:textId="77777777" w:rsidR="008C12A8" w:rsidRDefault="00E25179" w:rsidP="00E53192">
      <w:pPr>
        <w:pStyle w:val="Listenabsatz"/>
        <w:spacing w:after="120" w:line="240" w:lineRule="auto"/>
        <w:ind w:left="284"/>
        <w:contextualSpacing w:val="0"/>
        <w:rPr>
          <w:rFonts w:asciiTheme="minorHAnsi" w:hAnsiTheme="minorHAnsi" w:cstheme="minorHAnsi"/>
          <w:color w:val="00B050"/>
          <w:sz w:val="18"/>
          <w:szCs w:val="18"/>
        </w:rPr>
      </w:pPr>
      <w:r>
        <w:rPr>
          <w:rFonts w:asciiTheme="minorHAnsi" w:hAnsiTheme="minorHAnsi" w:cstheme="minorHAnsi"/>
          <w:color w:val="00B050"/>
          <w:sz w:val="18"/>
          <w:szCs w:val="18"/>
        </w:rPr>
        <w:t>Zusätzlich zum Experiment</w:t>
      </w:r>
      <w:r w:rsidR="001E1831">
        <w:rPr>
          <w:rFonts w:asciiTheme="minorHAnsi" w:hAnsiTheme="minorHAnsi" w:cstheme="minorHAnsi"/>
          <w:color w:val="00B050"/>
          <w:sz w:val="18"/>
          <w:szCs w:val="18"/>
        </w:rPr>
        <w:t xml:space="preserve"> befinden sich zwei </w:t>
      </w:r>
      <w:r w:rsidR="00257593">
        <w:rPr>
          <w:rFonts w:asciiTheme="minorHAnsi" w:hAnsiTheme="minorHAnsi" w:cstheme="minorHAnsi"/>
          <w:color w:val="00B050"/>
          <w:sz w:val="18"/>
          <w:szCs w:val="18"/>
        </w:rPr>
        <w:t>Umlenks</w:t>
      </w:r>
      <w:r w:rsidR="001E1831">
        <w:rPr>
          <w:rFonts w:asciiTheme="minorHAnsi" w:hAnsiTheme="minorHAnsi" w:cstheme="minorHAnsi"/>
          <w:color w:val="00B050"/>
          <w:sz w:val="18"/>
          <w:szCs w:val="18"/>
        </w:rPr>
        <w:t>piegel i</w:t>
      </w:r>
      <w:r w:rsidR="002868FE">
        <w:rPr>
          <w:rFonts w:asciiTheme="minorHAnsi" w:hAnsiTheme="minorHAnsi" w:cstheme="minorHAnsi"/>
          <w:color w:val="00B050"/>
          <w:sz w:val="18"/>
          <w:szCs w:val="18"/>
        </w:rPr>
        <w:t>n der Simulation; die Positionierung</w:t>
      </w:r>
      <w:r w:rsidR="005C7777">
        <w:rPr>
          <w:rFonts w:asciiTheme="minorHAnsi" w:hAnsiTheme="minorHAnsi" w:cstheme="minorHAnsi"/>
          <w:color w:val="00B050"/>
          <w:sz w:val="18"/>
          <w:szCs w:val="18"/>
        </w:rPr>
        <w:t xml:space="preserve"> ist gespiegelt.</w:t>
      </w:r>
      <w:r w:rsidR="00183B79">
        <w:rPr>
          <w:rFonts w:asciiTheme="minorHAnsi" w:hAnsiTheme="minorHAnsi" w:cstheme="minorHAnsi"/>
          <w:color w:val="00B050"/>
          <w:sz w:val="18"/>
          <w:szCs w:val="18"/>
        </w:rPr>
        <w:t xml:space="preserve"> Die optischen Wege </w:t>
      </w:r>
      <w:r w:rsidR="007B2DA6">
        <w:rPr>
          <w:rFonts w:asciiTheme="minorHAnsi" w:hAnsiTheme="minorHAnsi" w:cstheme="minorHAnsi"/>
          <w:color w:val="00B050"/>
          <w:sz w:val="18"/>
          <w:szCs w:val="18"/>
        </w:rPr>
        <w:t>kreuzen</w:t>
      </w:r>
      <w:r w:rsidR="00183B79">
        <w:rPr>
          <w:rFonts w:asciiTheme="minorHAnsi" w:hAnsiTheme="minorHAnsi" w:cstheme="minorHAnsi"/>
          <w:color w:val="00B050"/>
          <w:sz w:val="18"/>
          <w:szCs w:val="18"/>
        </w:rPr>
        <w:t xml:space="preserve"> sich im Gegensatz zum Experiment.</w:t>
      </w:r>
    </w:p>
    <w:p w14:paraId="2DE15EE2" w14:textId="77777777" w:rsidR="00757409" w:rsidRPr="00E3195F" w:rsidRDefault="005E68F0" w:rsidP="0040198A">
      <w:pPr>
        <w:pStyle w:val="Listenabsatz"/>
        <w:numPr>
          <w:ilvl w:val="0"/>
          <w:numId w:val="9"/>
        </w:numPr>
        <w:spacing w:after="120" w:line="240" w:lineRule="auto"/>
        <w:ind w:left="284" w:hanging="284"/>
        <w:contextualSpacing w:val="0"/>
        <w:rPr>
          <w:rFonts w:asciiTheme="minorHAnsi" w:hAnsiTheme="minorHAnsi" w:cstheme="minorHAnsi"/>
          <w:sz w:val="18"/>
          <w:szCs w:val="18"/>
        </w:rPr>
      </w:pPr>
      <w:r w:rsidRPr="00E3195F">
        <w:rPr>
          <w:rFonts w:asciiTheme="minorHAnsi" w:hAnsiTheme="minorHAnsi" w:cstheme="minorHAnsi"/>
          <w:sz w:val="18"/>
          <w:szCs w:val="18"/>
        </w:rPr>
        <w:t>Führen Sie die Simulation mit einzelnen Ereignissen durch</w:t>
      </w:r>
      <w:r w:rsidR="00FE64DE" w:rsidRPr="00E3195F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A01C73D" w14:textId="77777777" w:rsidR="00FE64DE" w:rsidRDefault="00FE64DE" w:rsidP="00757409">
      <w:pPr>
        <w:pStyle w:val="Listenabsatz"/>
        <w:numPr>
          <w:ilvl w:val="0"/>
          <w:numId w:val="10"/>
        </w:numPr>
        <w:spacing w:after="120" w:line="240" w:lineRule="auto"/>
        <w:ind w:left="567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E3195F">
        <w:rPr>
          <w:rFonts w:asciiTheme="minorHAnsi" w:hAnsiTheme="minorHAnsi" w:cstheme="minorHAnsi"/>
          <w:sz w:val="18"/>
          <w:szCs w:val="18"/>
        </w:rPr>
        <w:t>Beschreiben Sie Ihre Beobachtungen</w:t>
      </w:r>
      <w:r w:rsidR="00AB6628">
        <w:rPr>
          <w:rFonts w:asciiTheme="minorHAnsi" w:hAnsiTheme="minorHAnsi" w:cstheme="minorHAnsi"/>
          <w:sz w:val="18"/>
          <w:szCs w:val="18"/>
        </w:rPr>
        <w:t xml:space="preserve"> in Bezug auf die Mess</w:t>
      </w:r>
      <w:r w:rsidR="004369E9">
        <w:rPr>
          <w:rFonts w:asciiTheme="minorHAnsi" w:hAnsiTheme="minorHAnsi" w:cstheme="minorHAnsi"/>
          <w:sz w:val="18"/>
          <w:szCs w:val="18"/>
        </w:rPr>
        <w:t>ung an den Detektoren</w:t>
      </w:r>
      <w:r w:rsidRPr="00E3195F">
        <w:rPr>
          <w:rFonts w:asciiTheme="minorHAnsi" w:hAnsiTheme="minorHAnsi" w:cstheme="minorHAnsi"/>
          <w:sz w:val="18"/>
          <w:szCs w:val="18"/>
        </w:rPr>
        <w:t>.</w:t>
      </w:r>
    </w:p>
    <w:p w14:paraId="71453F68" w14:textId="77777777" w:rsidR="00937AD6" w:rsidRPr="00496DB6" w:rsidRDefault="00496DB6" w:rsidP="00937AD6">
      <w:pPr>
        <w:pStyle w:val="Listenabsatz"/>
        <w:spacing w:after="120" w:line="240" w:lineRule="auto"/>
        <w:ind w:left="567"/>
        <w:contextualSpacing w:val="0"/>
        <w:rPr>
          <w:rFonts w:asciiTheme="minorHAnsi" w:hAnsiTheme="minorHAnsi" w:cstheme="minorHAnsi"/>
          <w:color w:val="00B050"/>
          <w:sz w:val="18"/>
          <w:szCs w:val="18"/>
        </w:rPr>
      </w:pPr>
      <w:r w:rsidRPr="00496DB6">
        <w:rPr>
          <w:rFonts w:asciiTheme="minorHAnsi" w:hAnsiTheme="minorHAnsi" w:cstheme="minorHAnsi"/>
          <w:color w:val="00B050"/>
          <w:sz w:val="18"/>
          <w:szCs w:val="18"/>
        </w:rPr>
        <w:t>Es löst jeweils nur einer der Detektoren aus;</w:t>
      </w:r>
      <w:r w:rsidR="00B21B66">
        <w:rPr>
          <w:rFonts w:asciiTheme="minorHAnsi" w:hAnsiTheme="minorHAnsi" w:cstheme="minorHAnsi"/>
          <w:color w:val="00B050"/>
          <w:sz w:val="18"/>
          <w:szCs w:val="18"/>
        </w:rPr>
        <w:t xml:space="preserve"> dies passiert zufällig</w:t>
      </w:r>
      <w:r w:rsidRPr="00496DB6">
        <w:rPr>
          <w:rFonts w:asciiTheme="minorHAnsi" w:hAnsiTheme="minorHAnsi" w:cstheme="minorHAnsi"/>
          <w:color w:val="00B050"/>
          <w:sz w:val="18"/>
          <w:szCs w:val="18"/>
        </w:rPr>
        <w:t>.</w:t>
      </w:r>
    </w:p>
    <w:p w14:paraId="089E673B" w14:textId="77777777" w:rsidR="00FE64DE" w:rsidRPr="00E3195F" w:rsidRDefault="00D53CBA" w:rsidP="00757409">
      <w:pPr>
        <w:pStyle w:val="Listenabsatz"/>
        <w:numPr>
          <w:ilvl w:val="0"/>
          <w:numId w:val="10"/>
        </w:numPr>
        <w:spacing w:after="120" w:line="240" w:lineRule="auto"/>
        <w:ind w:left="567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E3195F">
        <w:rPr>
          <w:rFonts w:asciiTheme="minorHAnsi" w:hAnsiTheme="minorHAnsi" w:cstheme="minorHAnsi"/>
          <w:sz w:val="18"/>
          <w:szCs w:val="18"/>
        </w:rPr>
        <w:t xml:space="preserve">Beurteilen Sie die Darstellung des Photons </w:t>
      </w:r>
      <w:r w:rsidR="00757409" w:rsidRPr="00E3195F">
        <w:rPr>
          <w:rFonts w:asciiTheme="minorHAnsi" w:hAnsiTheme="minorHAnsi" w:cstheme="minorHAnsi"/>
          <w:sz w:val="18"/>
          <w:szCs w:val="18"/>
        </w:rPr>
        <w:t>hinter dem Strahlteiler</w:t>
      </w:r>
      <w:r w:rsidR="009109B0">
        <w:rPr>
          <w:rFonts w:asciiTheme="minorHAnsi" w:hAnsiTheme="minorHAnsi" w:cstheme="minorHAnsi"/>
          <w:sz w:val="18"/>
          <w:szCs w:val="18"/>
        </w:rPr>
        <w:t xml:space="preserve"> mit Bezug zu </w:t>
      </w:r>
      <w:r w:rsidR="00141F82">
        <w:rPr>
          <w:rFonts w:asciiTheme="minorHAnsi" w:hAnsiTheme="minorHAnsi" w:cstheme="minorHAnsi"/>
          <w:sz w:val="18"/>
          <w:szCs w:val="18"/>
        </w:rPr>
        <w:t>Ihren</w:t>
      </w:r>
      <w:r w:rsidR="009109B0">
        <w:rPr>
          <w:rFonts w:asciiTheme="minorHAnsi" w:hAnsiTheme="minorHAnsi" w:cstheme="minorHAnsi"/>
          <w:sz w:val="18"/>
          <w:szCs w:val="18"/>
        </w:rPr>
        <w:t xml:space="preserve"> bis</w:t>
      </w:r>
      <w:r w:rsidR="00141F82">
        <w:rPr>
          <w:rFonts w:asciiTheme="minorHAnsi" w:hAnsiTheme="minorHAnsi" w:cstheme="minorHAnsi"/>
          <w:sz w:val="18"/>
          <w:szCs w:val="18"/>
        </w:rPr>
        <w:t>herigen Kenntnissen über Quantenobjekte</w:t>
      </w:r>
      <w:r w:rsidR="00757409" w:rsidRPr="00E3195F">
        <w:rPr>
          <w:rFonts w:asciiTheme="minorHAnsi" w:hAnsiTheme="minorHAnsi" w:cstheme="minorHAnsi"/>
          <w:sz w:val="18"/>
          <w:szCs w:val="18"/>
        </w:rPr>
        <w:t>.</w:t>
      </w:r>
    </w:p>
    <w:p w14:paraId="3FEAEC05" w14:textId="77777777" w:rsidR="008C12A8" w:rsidRDefault="00CC7DC6" w:rsidP="008C12A8">
      <w:pPr>
        <w:pStyle w:val="Listenabsatz"/>
        <w:spacing w:after="120" w:line="240" w:lineRule="auto"/>
        <w:ind w:left="567"/>
        <w:contextualSpacing w:val="0"/>
        <w:rPr>
          <w:rFonts w:asciiTheme="minorHAnsi" w:hAnsiTheme="minorHAnsi" w:cstheme="minorHAnsi"/>
          <w:color w:val="00B050"/>
          <w:sz w:val="18"/>
          <w:szCs w:val="18"/>
        </w:rPr>
      </w:pPr>
      <w:r>
        <w:rPr>
          <w:rFonts w:asciiTheme="minorHAnsi" w:hAnsiTheme="minorHAnsi" w:cstheme="minorHAnsi"/>
          <w:color w:val="00B050"/>
          <w:sz w:val="18"/>
          <w:szCs w:val="18"/>
        </w:rPr>
        <w:t xml:space="preserve">Die Darstellung ist kritisch zu betrachten, da sich das Photon in der Simulation aufzuteilen scheint </w:t>
      </w:r>
      <w:r w:rsidR="00F619CC">
        <w:rPr>
          <w:rFonts w:asciiTheme="minorHAnsi" w:hAnsiTheme="minorHAnsi" w:cstheme="minorHAnsi"/>
          <w:color w:val="00B050"/>
          <w:sz w:val="18"/>
          <w:szCs w:val="18"/>
        </w:rPr>
        <w:t>(es wird transparenter, es werden zwei einzelne Teilchen dargestellt</w:t>
      </w:r>
      <w:r w:rsidR="00DE3F4A">
        <w:rPr>
          <w:rFonts w:asciiTheme="minorHAnsi" w:hAnsiTheme="minorHAnsi" w:cstheme="minorHAnsi"/>
          <w:color w:val="00B050"/>
          <w:sz w:val="18"/>
          <w:szCs w:val="18"/>
        </w:rPr>
        <w:t>, die durch eine gestrichelte Linie verbunden sind</w:t>
      </w:r>
      <w:r w:rsidR="00F619CC">
        <w:rPr>
          <w:rFonts w:asciiTheme="minorHAnsi" w:hAnsiTheme="minorHAnsi" w:cstheme="minorHAnsi"/>
          <w:color w:val="00B050"/>
          <w:sz w:val="18"/>
          <w:szCs w:val="18"/>
        </w:rPr>
        <w:t>);</w:t>
      </w:r>
      <w:r>
        <w:rPr>
          <w:rFonts w:asciiTheme="minorHAnsi" w:hAnsiTheme="minorHAnsi" w:cstheme="minorHAnsi"/>
          <w:color w:val="00B050"/>
          <w:sz w:val="18"/>
          <w:szCs w:val="18"/>
        </w:rPr>
        <w:t xml:space="preserve"> </w:t>
      </w:r>
      <w:r w:rsidR="00F86264">
        <w:rPr>
          <w:rFonts w:asciiTheme="minorHAnsi" w:hAnsiTheme="minorHAnsi" w:cstheme="minorHAnsi"/>
          <w:color w:val="00B050"/>
          <w:sz w:val="18"/>
          <w:szCs w:val="18"/>
        </w:rPr>
        <w:t xml:space="preserve">im Realexperiment </w:t>
      </w:r>
      <w:r w:rsidR="00DE3F4A">
        <w:rPr>
          <w:rFonts w:asciiTheme="minorHAnsi" w:hAnsiTheme="minorHAnsi" w:cstheme="minorHAnsi"/>
          <w:color w:val="00B050"/>
          <w:sz w:val="18"/>
          <w:szCs w:val="18"/>
        </w:rPr>
        <w:t xml:space="preserve">konnte man jedoch feststellen, dass </w:t>
      </w:r>
      <w:r w:rsidR="00951DA8">
        <w:rPr>
          <w:rFonts w:asciiTheme="minorHAnsi" w:hAnsiTheme="minorHAnsi" w:cstheme="minorHAnsi"/>
          <w:color w:val="00B050"/>
          <w:sz w:val="18"/>
          <w:szCs w:val="18"/>
        </w:rPr>
        <w:t>Quantenobjekte/Photonen unteilbar</w:t>
      </w:r>
      <w:r w:rsidR="00DE3F4A">
        <w:rPr>
          <w:rFonts w:asciiTheme="minorHAnsi" w:hAnsiTheme="minorHAnsi" w:cstheme="minorHAnsi"/>
          <w:color w:val="00B050"/>
          <w:sz w:val="18"/>
          <w:szCs w:val="18"/>
        </w:rPr>
        <w:t xml:space="preserve"> sind</w:t>
      </w:r>
      <w:r w:rsidR="00951DA8">
        <w:rPr>
          <w:rFonts w:asciiTheme="minorHAnsi" w:hAnsiTheme="minorHAnsi" w:cstheme="minorHAnsi"/>
          <w:color w:val="00B050"/>
          <w:sz w:val="18"/>
          <w:szCs w:val="18"/>
        </w:rPr>
        <w:t>.</w:t>
      </w:r>
    </w:p>
    <w:p w14:paraId="326D4E63" w14:textId="77777777" w:rsidR="00A151C0" w:rsidRPr="008C22F7" w:rsidRDefault="00A151C0" w:rsidP="008C12A8">
      <w:pPr>
        <w:pStyle w:val="Listenabsatz"/>
        <w:spacing w:after="120" w:line="240" w:lineRule="auto"/>
        <w:ind w:left="567"/>
        <w:contextualSpacing w:val="0"/>
        <w:rPr>
          <w:rFonts w:asciiTheme="minorHAnsi" w:hAnsiTheme="minorHAnsi" w:cstheme="minorHAnsi"/>
          <w:color w:val="00B050"/>
          <w:sz w:val="18"/>
          <w:szCs w:val="18"/>
        </w:rPr>
      </w:pPr>
      <w:r w:rsidRPr="008C22F7">
        <w:rPr>
          <w:rFonts w:asciiTheme="minorHAnsi" w:hAnsiTheme="minorHAnsi" w:cstheme="minorHAnsi"/>
          <w:color w:val="00B050"/>
          <w:sz w:val="18"/>
          <w:szCs w:val="18"/>
        </w:rPr>
        <w:t xml:space="preserve">Bemerkung: </w:t>
      </w:r>
      <w:r w:rsidR="009B6807" w:rsidRPr="008C22F7">
        <w:rPr>
          <w:rFonts w:asciiTheme="minorHAnsi" w:hAnsiTheme="minorHAnsi" w:cstheme="minorHAnsi"/>
          <w:color w:val="00B050"/>
          <w:sz w:val="18"/>
          <w:szCs w:val="18"/>
        </w:rPr>
        <w:t xml:space="preserve">Eine optimale visuelle Darstellung </w:t>
      </w:r>
      <w:r w:rsidR="00126FC5" w:rsidRPr="008C22F7">
        <w:rPr>
          <w:rFonts w:asciiTheme="minorHAnsi" w:hAnsiTheme="minorHAnsi" w:cstheme="minorHAnsi"/>
          <w:color w:val="00B050"/>
          <w:sz w:val="18"/>
          <w:szCs w:val="18"/>
        </w:rPr>
        <w:t xml:space="preserve">ist nicht realisierbar. </w:t>
      </w:r>
    </w:p>
    <w:p w14:paraId="26650C40" w14:textId="77777777" w:rsidR="0040198A" w:rsidRPr="00E3195F" w:rsidRDefault="00FE64DE" w:rsidP="0040198A">
      <w:pPr>
        <w:pStyle w:val="Listenabsatz"/>
        <w:numPr>
          <w:ilvl w:val="0"/>
          <w:numId w:val="9"/>
        </w:numPr>
        <w:spacing w:after="120" w:line="240" w:lineRule="auto"/>
        <w:ind w:left="284" w:hanging="284"/>
        <w:contextualSpacing w:val="0"/>
        <w:rPr>
          <w:rFonts w:asciiTheme="minorHAnsi" w:hAnsiTheme="minorHAnsi" w:cstheme="minorHAnsi"/>
          <w:sz w:val="18"/>
          <w:szCs w:val="18"/>
        </w:rPr>
      </w:pPr>
      <w:r w:rsidRPr="00E3195F">
        <w:rPr>
          <w:rFonts w:asciiTheme="minorHAnsi" w:hAnsiTheme="minorHAnsi" w:cstheme="minorHAnsi"/>
          <w:sz w:val="18"/>
          <w:szCs w:val="18"/>
        </w:rPr>
        <w:t>Setzen Sie die Messung zurück. E</w:t>
      </w:r>
      <w:r w:rsidR="005E68F0" w:rsidRPr="00E3195F">
        <w:rPr>
          <w:rFonts w:asciiTheme="minorHAnsi" w:hAnsiTheme="minorHAnsi" w:cstheme="minorHAnsi"/>
          <w:sz w:val="18"/>
          <w:szCs w:val="18"/>
        </w:rPr>
        <w:t xml:space="preserve">rzeugen Sie anschließend </w:t>
      </w:r>
      <w:r w:rsidRPr="00E3195F">
        <w:rPr>
          <w:rFonts w:asciiTheme="minorHAnsi" w:hAnsiTheme="minorHAnsi" w:cstheme="minorHAnsi"/>
          <w:sz w:val="18"/>
          <w:szCs w:val="18"/>
        </w:rPr>
        <w:t xml:space="preserve">jeweils </w:t>
      </w:r>
      <w:r w:rsidR="005E68F0" w:rsidRPr="00E3195F">
        <w:rPr>
          <w:rFonts w:asciiTheme="minorHAnsi" w:hAnsiTheme="minorHAnsi" w:cstheme="minorHAnsi"/>
          <w:sz w:val="18"/>
          <w:szCs w:val="18"/>
        </w:rPr>
        <w:t>mehrere 100 Ereignisse.</w:t>
      </w:r>
    </w:p>
    <w:p w14:paraId="0D93B664" w14:textId="77777777" w:rsidR="00852B67" w:rsidRPr="00852B67" w:rsidRDefault="00364704" w:rsidP="00852B67">
      <w:pPr>
        <w:pStyle w:val="Listenabsatz"/>
        <w:numPr>
          <w:ilvl w:val="0"/>
          <w:numId w:val="11"/>
        </w:numPr>
        <w:spacing w:after="120" w:line="240" w:lineRule="auto"/>
        <w:ind w:left="567" w:hanging="283"/>
        <w:contextualSpacing w:val="0"/>
        <w:rPr>
          <w:rFonts w:asciiTheme="minorHAnsi" w:hAnsiTheme="minorHAnsi" w:cstheme="minorHAnsi"/>
          <w:sz w:val="18"/>
          <w:szCs w:val="18"/>
        </w:rPr>
      </w:pPr>
      <w:r w:rsidRPr="00E3195F">
        <w:rPr>
          <w:rFonts w:asciiTheme="minorHAnsi" w:hAnsiTheme="minorHAnsi" w:cstheme="minorHAnsi"/>
          <w:sz w:val="18"/>
          <w:szCs w:val="18"/>
        </w:rPr>
        <w:t>N</w:t>
      </w:r>
      <w:r w:rsidR="00C04DD5" w:rsidRPr="00E3195F">
        <w:rPr>
          <w:rFonts w:asciiTheme="minorHAnsi" w:hAnsiTheme="minorHAnsi" w:cstheme="minorHAnsi"/>
          <w:sz w:val="18"/>
          <w:szCs w:val="18"/>
        </w:rPr>
        <w:t xml:space="preserve">otieren Sie die Messwerte </w:t>
      </w:r>
      <w:r w:rsidRPr="00E3195F">
        <w:rPr>
          <w:rFonts w:asciiTheme="minorHAnsi" w:hAnsiTheme="minorHAnsi" w:cstheme="minorHAnsi"/>
          <w:sz w:val="18"/>
          <w:szCs w:val="18"/>
        </w:rPr>
        <w:t>in der folgenden Tabelle.</w:t>
      </w:r>
    </w:p>
    <w:p w14:paraId="76C8C436" w14:textId="77777777" w:rsidR="00852B67" w:rsidRPr="00852B67" w:rsidRDefault="00852B67" w:rsidP="00852B67">
      <w:pPr>
        <w:pStyle w:val="Listenabsatz"/>
        <w:spacing w:after="120" w:line="240" w:lineRule="auto"/>
        <w:ind w:left="567"/>
        <w:contextualSpacing w:val="0"/>
        <w:rPr>
          <w:rFonts w:asciiTheme="minorHAnsi" w:hAnsiTheme="minorHAnsi" w:cstheme="minorHAnsi"/>
          <w:sz w:val="18"/>
          <w:szCs w:val="18"/>
        </w:rPr>
      </w:pPr>
      <w:r w:rsidRPr="00852B67">
        <w:rPr>
          <w:rFonts w:asciiTheme="minorHAnsi" w:hAnsiTheme="minorHAnsi" w:cstheme="minorHAnsi"/>
          <w:color w:val="00B050"/>
          <w:sz w:val="18"/>
          <w:szCs w:val="18"/>
        </w:rPr>
        <w:t xml:space="preserve">Beispielmessung: </w:t>
      </w:r>
    </w:p>
    <w:tbl>
      <w:tblPr>
        <w:tblStyle w:val="Tabellenraster"/>
        <w:tblW w:w="8789" w:type="dxa"/>
        <w:tblInd w:w="562" w:type="dxa"/>
        <w:tblLook w:val="04A0" w:firstRow="1" w:lastRow="0" w:firstColumn="1" w:lastColumn="0" w:noHBand="0" w:noVBand="1"/>
      </w:tblPr>
      <w:tblGrid>
        <w:gridCol w:w="2197"/>
        <w:gridCol w:w="2197"/>
        <w:gridCol w:w="2197"/>
        <w:gridCol w:w="2198"/>
      </w:tblGrid>
      <w:tr w:rsidR="00852B67" w:rsidRPr="00E3195F" w14:paraId="4FE0F119" w14:textId="77777777" w:rsidTr="00E27DCE">
        <w:tc>
          <w:tcPr>
            <w:tcW w:w="2197" w:type="dxa"/>
            <w:vAlign w:val="center"/>
          </w:tcPr>
          <w:p w14:paraId="0F1C3A11" w14:textId="77777777" w:rsidR="00852B67" w:rsidRPr="00E3195F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  <w:sz w:val="18"/>
                    <w:szCs w:val="18"/>
                  </w:rPr>
                  <m:t>n</m:t>
                </m:r>
              </m:oMath>
            </m:oMathPara>
          </w:p>
        </w:tc>
        <w:tc>
          <w:tcPr>
            <w:tcW w:w="2197" w:type="dxa"/>
            <w:vAlign w:val="center"/>
          </w:tcPr>
          <w:p w14:paraId="48EC47C3" w14:textId="77777777" w:rsidR="00852B67" w:rsidRPr="00E3195F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19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</w:t>
            </w:r>
            <w:r w:rsidRPr="00E3195F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197" w:type="dxa"/>
            <w:vAlign w:val="center"/>
          </w:tcPr>
          <w:p w14:paraId="2B89D66A" w14:textId="77777777" w:rsidR="00852B67" w:rsidRPr="00E3195F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19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</w:t>
            </w:r>
            <w:r w:rsidRPr="00E3195F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198" w:type="dxa"/>
            <w:vAlign w:val="center"/>
          </w:tcPr>
          <w:p w14:paraId="61F35A6D" w14:textId="77777777" w:rsidR="00852B67" w:rsidRPr="00E3195F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3195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</w:t>
            </w:r>
            <w:r w:rsidRPr="00E3195F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bscript"/>
              </w:rPr>
              <w:t>K</w:t>
            </w:r>
          </w:p>
        </w:tc>
      </w:tr>
      <w:tr w:rsidR="00852B67" w:rsidRPr="00E3195F" w14:paraId="3BBA6902" w14:textId="77777777" w:rsidTr="00E27DCE">
        <w:tc>
          <w:tcPr>
            <w:tcW w:w="2197" w:type="dxa"/>
            <w:vAlign w:val="center"/>
          </w:tcPr>
          <w:p w14:paraId="038E1C56" w14:textId="77777777" w:rsidR="00852B67" w:rsidRPr="00E3195F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95F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</w:p>
        </w:tc>
        <w:tc>
          <w:tcPr>
            <w:tcW w:w="2197" w:type="dxa"/>
            <w:vAlign w:val="center"/>
          </w:tcPr>
          <w:p w14:paraId="7DE1B0F5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89</w:t>
            </w:r>
          </w:p>
        </w:tc>
        <w:tc>
          <w:tcPr>
            <w:tcW w:w="2197" w:type="dxa"/>
            <w:vAlign w:val="center"/>
          </w:tcPr>
          <w:p w14:paraId="564E9D2A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111</w:t>
            </w:r>
          </w:p>
        </w:tc>
        <w:tc>
          <w:tcPr>
            <w:tcW w:w="2198" w:type="dxa"/>
            <w:vAlign w:val="center"/>
          </w:tcPr>
          <w:p w14:paraId="20F03F55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0</w:t>
            </w:r>
          </w:p>
        </w:tc>
      </w:tr>
      <w:tr w:rsidR="00852B67" w:rsidRPr="00E3195F" w14:paraId="58EA4FFE" w14:textId="77777777" w:rsidTr="00E27DCE">
        <w:tc>
          <w:tcPr>
            <w:tcW w:w="2197" w:type="dxa"/>
            <w:vAlign w:val="center"/>
          </w:tcPr>
          <w:p w14:paraId="795B565A" w14:textId="77777777" w:rsidR="00852B67" w:rsidRPr="00E3195F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95F">
              <w:rPr>
                <w:rFonts w:asciiTheme="minorHAnsi" w:hAnsiTheme="minorHAnsi" w:cstheme="minorHAnsi"/>
                <w:sz w:val="18"/>
                <w:szCs w:val="18"/>
              </w:rPr>
              <w:t>400</w:t>
            </w:r>
          </w:p>
        </w:tc>
        <w:tc>
          <w:tcPr>
            <w:tcW w:w="2197" w:type="dxa"/>
            <w:vAlign w:val="center"/>
          </w:tcPr>
          <w:p w14:paraId="400CB8BA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194</w:t>
            </w:r>
          </w:p>
        </w:tc>
        <w:tc>
          <w:tcPr>
            <w:tcW w:w="2197" w:type="dxa"/>
            <w:vAlign w:val="center"/>
          </w:tcPr>
          <w:p w14:paraId="43177F21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206</w:t>
            </w:r>
          </w:p>
        </w:tc>
        <w:tc>
          <w:tcPr>
            <w:tcW w:w="2198" w:type="dxa"/>
            <w:vAlign w:val="center"/>
          </w:tcPr>
          <w:p w14:paraId="7774DA5E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0</w:t>
            </w:r>
          </w:p>
        </w:tc>
      </w:tr>
      <w:tr w:rsidR="00852B67" w:rsidRPr="00E3195F" w14:paraId="21EE8827" w14:textId="77777777" w:rsidTr="00E27DCE">
        <w:tc>
          <w:tcPr>
            <w:tcW w:w="2197" w:type="dxa"/>
            <w:vAlign w:val="center"/>
          </w:tcPr>
          <w:p w14:paraId="300BA941" w14:textId="77777777" w:rsidR="00852B67" w:rsidRPr="00E3195F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95F">
              <w:rPr>
                <w:rFonts w:asciiTheme="minorHAnsi" w:hAnsiTheme="minorHAnsi" w:cstheme="minorHAnsi"/>
                <w:sz w:val="18"/>
                <w:szCs w:val="18"/>
              </w:rPr>
              <w:t>600</w:t>
            </w:r>
          </w:p>
        </w:tc>
        <w:tc>
          <w:tcPr>
            <w:tcW w:w="2197" w:type="dxa"/>
            <w:vAlign w:val="center"/>
          </w:tcPr>
          <w:p w14:paraId="4A68DE42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302</w:t>
            </w:r>
          </w:p>
        </w:tc>
        <w:tc>
          <w:tcPr>
            <w:tcW w:w="2197" w:type="dxa"/>
            <w:vAlign w:val="center"/>
          </w:tcPr>
          <w:p w14:paraId="342353EF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298</w:t>
            </w:r>
          </w:p>
        </w:tc>
        <w:tc>
          <w:tcPr>
            <w:tcW w:w="2198" w:type="dxa"/>
            <w:vAlign w:val="center"/>
          </w:tcPr>
          <w:p w14:paraId="4A57B604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0</w:t>
            </w:r>
          </w:p>
        </w:tc>
      </w:tr>
      <w:tr w:rsidR="00852B67" w:rsidRPr="00E3195F" w14:paraId="452F6898" w14:textId="77777777" w:rsidTr="00E27DCE">
        <w:tc>
          <w:tcPr>
            <w:tcW w:w="2197" w:type="dxa"/>
            <w:vAlign w:val="center"/>
          </w:tcPr>
          <w:p w14:paraId="56EA0BB2" w14:textId="77777777" w:rsidR="00852B67" w:rsidRPr="00E3195F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95F">
              <w:rPr>
                <w:rFonts w:asciiTheme="minorHAnsi" w:hAnsiTheme="minorHAnsi" w:cstheme="minorHAnsi"/>
                <w:sz w:val="18"/>
                <w:szCs w:val="18"/>
              </w:rPr>
              <w:t>800</w:t>
            </w:r>
          </w:p>
        </w:tc>
        <w:tc>
          <w:tcPr>
            <w:tcW w:w="2197" w:type="dxa"/>
            <w:vAlign w:val="center"/>
          </w:tcPr>
          <w:p w14:paraId="6BCF8919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407</w:t>
            </w:r>
          </w:p>
        </w:tc>
        <w:tc>
          <w:tcPr>
            <w:tcW w:w="2197" w:type="dxa"/>
            <w:vAlign w:val="center"/>
          </w:tcPr>
          <w:p w14:paraId="13CB7155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393</w:t>
            </w:r>
          </w:p>
        </w:tc>
        <w:tc>
          <w:tcPr>
            <w:tcW w:w="2198" w:type="dxa"/>
            <w:vAlign w:val="center"/>
          </w:tcPr>
          <w:p w14:paraId="7EC7770F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0</w:t>
            </w:r>
          </w:p>
        </w:tc>
      </w:tr>
      <w:tr w:rsidR="00852B67" w:rsidRPr="00E3195F" w14:paraId="71E1D7E5" w14:textId="77777777" w:rsidTr="00E27DCE">
        <w:tc>
          <w:tcPr>
            <w:tcW w:w="2197" w:type="dxa"/>
            <w:vAlign w:val="center"/>
          </w:tcPr>
          <w:p w14:paraId="46CC69A8" w14:textId="77777777" w:rsidR="00852B67" w:rsidRPr="00E3195F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3195F">
              <w:rPr>
                <w:rFonts w:asciiTheme="minorHAnsi" w:hAnsiTheme="minorHAnsi" w:cstheme="minorHAnsi"/>
                <w:sz w:val="18"/>
                <w:szCs w:val="18"/>
              </w:rPr>
              <w:t>1000</w:t>
            </w:r>
          </w:p>
        </w:tc>
        <w:tc>
          <w:tcPr>
            <w:tcW w:w="2197" w:type="dxa"/>
            <w:vAlign w:val="center"/>
          </w:tcPr>
          <w:p w14:paraId="2AFE3517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520</w:t>
            </w:r>
          </w:p>
        </w:tc>
        <w:tc>
          <w:tcPr>
            <w:tcW w:w="2197" w:type="dxa"/>
            <w:vAlign w:val="center"/>
          </w:tcPr>
          <w:p w14:paraId="75476BC6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480</w:t>
            </w:r>
          </w:p>
        </w:tc>
        <w:tc>
          <w:tcPr>
            <w:tcW w:w="2198" w:type="dxa"/>
            <w:vAlign w:val="center"/>
          </w:tcPr>
          <w:p w14:paraId="4FFE8284" w14:textId="77777777" w:rsidR="00852B67" w:rsidRPr="00C43148" w:rsidRDefault="00852B67" w:rsidP="00C4023E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rFonts w:asciiTheme="minorHAnsi" w:hAnsiTheme="minorHAnsi" w:cstheme="minorHAnsi"/>
                <w:color w:val="00B05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B050"/>
                <w:sz w:val="18"/>
                <w:szCs w:val="18"/>
              </w:rPr>
              <w:t>0</w:t>
            </w:r>
          </w:p>
        </w:tc>
      </w:tr>
    </w:tbl>
    <w:p w14:paraId="00245326" w14:textId="77777777" w:rsidR="00D0223E" w:rsidRDefault="00D0223E" w:rsidP="001B5E97">
      <w:pPr>
        <w:pStyle w:val="Listenabsatz"/>
        <w:numPr>
          <w:ilvl w:val="0"/>
          <w:numId w:val="11"/>
        </w:numPr>
        <w:spacing w:before="120" w:after="120" w:line="240" w:lineRule="auto"/>
        <w:ind w:left="568" w:hanging="284"/>
        <w:contextualSpacing w:val="0"/>
        <w:rPr>
          <w:rFonts w:asciiTheme="minorHAnsi" w:hAnsiTheme="minorHAnsi" w:cstheme="minorHAnsi"/>
          <w:sz w:val="18"/>
          <w:szCs w:val="18"/>
        </w:rPr>
      </w:pPr>
      <w:r w:rsidRPr="00E3195F">
        <w:rPr>
          <w:rFonts w:asciiTheme="minorHAnsi" w:hAnsiTheme="minorHAnsi" w:cstheme="minorHAnsi"/>
          <w:sz w:val="18"/>
          <w:szCs w:val="18"/>
        </w:rPr>
        <w:t xml:space="preserve">Interpretieren Sie die Messwerte im Hinblick auf das </w:t>
      </w:r>
      <w:r w:rsidR="00F419C5">
        <w:rPr>
          <w:rFonts w:asciiTheme="minorHAnsi" w:hAnsiTheme="minorHAnsi" w:cstheme="minorHAnsi"/>
          <w:sz w:val="18"/>
          <w:szCs w:val="18"/>
        </w:rPr>
        <w:t>Reale</w:t>
      </w:r>
      <w:r w:rsidR="008C12A8" w:rsidRPr="00E3195F">
        <w:rPr>
          <w:rFonts w:asciiTheme="minorHAnsi" w:hAnsiTheme="minorHAnsi" w:cstheme="minorHAnsi"/>
          <w:sz w:val="18"/>
          <w:szCs w:val="18"/>
        </w:rPr>
        <w:t>xperiment.</w:t>
      </w:r>
    </w:p>
    <w:p w14:paraId="0C967C19" w14:textId="4685752F" w:rsidR="009C19ED" w:rsidRPr="001B5E97" w:rsidRDefault="00E9629C" w:rsidP="001B5E97">
      <w:pPr>
        <w:pStyle w:val="Listenabsatz"/>
        <w:spacing w:after="120" w:line="240" w:lineRule="auto"/>
        <w:ind w:left="567"/>
        <w:contextualSpacing w:val="0"/>
        <w:rPr>
          <w:rFonts w:asciiTheme="minorHAnsi" w:hAnsiTheme="minorHAnsi" w:cstheme="minorHAnsi"/>
          <w:spacing w:val="-2"/>
          <w:sz w:val="18"/>
          <w:szCs w:val="18"/>
        </w:rPr>
      </w:pPr>
      <w:r>
        <w:rPr>
          <w:rFonts w:asciiTheme="minorHAnsi" w:hAnsiTheme="minorHAnsi" w:cstheme="minorHAnsi"/>
          <w:color w:val="00B050"/>
          <w:spacing w:val="-2"/>
          <w:sz w:val="18"/>
          <w:szCs w:val="18"/>
        </w:rPr>
        <w:lastRenderedPageBreak/>
        <w:t xml:space="preserve">Wie im </w:t>
      </w:r>
      <w:r w:rsidR="00294687" w:rsidRPr="001B5E97">
        <w:rPr>
          <w:rFonts w:asciiTheme="minorHAnsi" w:hAnsiTheme="minorHAnsi" w:cstheme="minorHAnsi"/>
          <w:color w:val="00B050"/>
          <w:spacing w:val="-2"/>
          <w:sz w:val="18"/>
          <w:szCs w:val="18"/>
        </w:rPr>
        <w:t>Realexperiment</w:t>
      </w:r>
      <w:r w:rsidR="003F719F" w:rsidRPr="001B5E97">
        <w:rPr>
          <w:rFonts w:asciiTheme="minorHAnsi" w:hAnsiTheme="minorHAnsi" w:cstheme="minorHAnsi"/>
          <w:color w:val="00B050"/>
          <w:spacing w:val="-2"/>
          <w:sz w:val="18"/>
          <w:szCs w:val="18"/>
        </w:rPr>
        <w:t xml:space="preserve"> treten bei der Simulation keine Koinzidenzen</w:t>
      </w:r>
      <w:r w:rsidR="00961DE3" w:rsidRPr="001B5E97">
        <w:rPr>
          <w:rFonts w:asciiTheme="minorHAnsi" w:hAnsiTheme="minorHAnsi" w:cstheme="minorHAnsi"/>
          <w:color w:val="00B050"/>
          <w:spacing w:val="-2"/>
          <w:sz w:val="18"/>
          <w:szCs w:val="18"/>
        </w:rPr>
        <w:t xml:space="preserve"> auf</w:t>
      </w:r>
      <w:r w:rsidR="007B24CD">
        <w:rPr>
          <w:rFonts w:asciiTheme="minorHAnsi" w:hAnsiTheme="minorHAnsi" w:cstheme="minorHAnsi"/>
          <w:color w:val="00B050"/>
          <w:spacing w:val="-2"/>
          <w:sz w:val="18"/>
          <w:szCs w:val="18"/>
        </w:rPr>
        <w:t xml:space="preserve"> und die Detektoren sprechen einigermaßen gleichmäßig an.</w:t>
      </w:r>
      <w:r w:rsidR="00235C76" w:rsidRPr="001B5E97">
        <w:rPr>
          <w:rFonts w:asciiTheme="minorHAnsi" w:hAnsiTheme="minorHAnsi" w:cstheme="minorHAnsi"/>
          <w:color w:val="00B050"/>
          <w:spacing w:val="-2"/>
          <w:sz w:val="18"/>
          <w:szCs w:val="18"/>
        </w:rPr>
        <w:t xml:space="preserve"> </w:t>
      </w:r>
    </w:p>
    <w:sectPr w:rsidR="009C19ED" w:rsidRPr="001B5E97" w:rsidSect="005C134F">
      <w:pgSz w:w="11906" w:h="16838"/>
      <w:pgMar w:top="851" w:right="851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E19E" w14:textId="77777777" w:rsidR="005D0FDF" w:rsidRDefault="005D0FDF">
      <w:pPr>
        <w:spacing w:after="0" w:line="240" w:lineRule="auto"/>
      </w:pPr>
      <w:r>
        <w:separator/>
      </w:r>
    </w:p>
  </w:endnote>
  <w:endnote w:type="continuationSeparator" w:id="0">
    <w:p w14:paraId="0850339C" w14:textId="77777777" w:rsidR="005D0FDF" w:rsidRDefault="005D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D951A" w14:textId="77777777" w:rsidR="005D0FDF" w:rsidRDefault="005D0FD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D686036" w14:textId="77777777" w:rsidR="005D0FDF" w:rsidRDefault="005D0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7957"/>
    <w:multiLevelType w:val="multilevel"/>
    <w:tmpl w:val="945860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3029F"/>
    <w:multiLevelType w:val="multilevel"/>
    <w:tmpl w:val="A1ACF30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F19D4"/>
    <w:multiLevelType w:val="hybridMultilevel"/>
    <w:tmpl w:val="1C50934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2594E6B"/>
    <w:multiLevelType w:val="hybridMultilevel"/>
    <w:tmpl w:val="571AE694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3283267"/>
    <w:multiLevelType w:val="multilevel"/>
    <w:tmpl w:val="BD805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6174F"/>
    <w:multiLevelType w:val="hybridMultilevel"/>
    <w:tmpl w:val="FE76B5EE"/>
    <w:lvl w:ilvl="0" w:tplc="FAC2774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14AC"/>
    <w:multiLevelType w:val="hybridMultilevel"/>
    <w:tmpl w:val="9BB88510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1C4963"/>
    <w:multiLevelType w:val="hybridMultilevel"/>
    <w:tmpl w:val="C310DC96"/>
    <w:lvl w:ilvl="0" w:tplc="4112BD40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21311AA"/>
    <w:multiLevelType w:val="multilevel"/>
    <w:tmpl w:val="A1ACF30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543D6"/>
    <w:multiLevelType w:val="hybridMultilevel"/>
    <w:tmpl w:val="5A2CCA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5031E"/>
    <w:multiLevelType w:val="hybridMultilevel"/>
    <w:tmpl w:val="A9F0FF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629626">
    <w:abstractNumId w:val="8"/>
  </w:num>
  <w:num w:numId="2" w16cid:durableId="1256405660">
    <w:abstractNumId w:val="0"/>
  </w:num>
  <w:num w:numId="3" w16cid:durableId="1541353928">
    <w:abstractNumId w:val="4"/>
  </w:num>
  <w:num w:numId="4" w16cid:durableId="1418399435">
    <w:abstractNumId w:val="10"/>
  </w:num>
  <w:num w:numId="5" w16cid:durableId="580020932">
    <w:abstractNumId w:val="7"/>
  </w:num>
  <w:num w:numId="6" w16cid:durableId="1825779515">
    <w:abstractNumId w:val="6"/>
  </w:num>
  <w:num w:numId="7" w16cid:durableId="1702701656">
    <w:abstractNumId w:val="5"/>
  </w:num>
  <w:num w:numId="8" w16cid:durableId="895971558">
    <w:abstractNumId w:val="9"/>
  </w:num>
  <w:num w:numId="9" w16cid:durableId="1210069349">
    <w:abstractNumId w:val="1"/>
  </w:num>
  <w:num w:numId="10" w16cid:durableId="587738245">
    <w:abstractNumId w:val="2"/>
  </w:num>
  <w:num w:numId="11" w16cid:durableId="1072897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7D"/>
    <w:rsid w:val="00005763"/>
    <w:rsid w:val="000061E8"/>
    <w:rsid w:val="00011E4F"/>
    <w:rsid w:val="000231C0"/>
    <w:rsid w:val="00030CA3"/>
    <w:rsid w:val="00033171"/>
    <w:rsid w:val="000851FE"/>
    <w:rsid w:val="00087F35"/>
    <w:rsid w:val="000A0DFC"/>
    <w:rsid w:val="000E5232"/>
    <w:rsid w:val="000F2060"/>
    <w:rsid w:val="000F426A"/>
    <w:rsid w:val="00113805"/>
    <w:rsid w:val="00120C9A"/>
    <w:rsid w:val="00126FC5"/>
    <w:rsid w:val="001360C4"/>
    <w:rsid w:val="0014057F"/>
    <w:rsid w:val="00141F82"/>
    <w:rsid w:val="0014402B"/>
    <w:rsid w:val="00151EB4"/>
    <w:rsid w:val="00163D8F"/>
    <w:rsid w:val="00180E3D"/>
    <w:rsid w:val="00183B79"/>
    <w:rsid w:val="001A061E"/>
    <w:rsid w:val="001A111F"/>
    <w:rsid w:val="001B2375"/>
    <w:rsid w:val="001B5E97"/>
    <w:rsid w:val="001B60AA"/>
    <w:rsid w:val="001C7F5A"/>
    <w:rsid w:val="001E1831"/>
    <w:rsid w:val="00203303"/>
    <w:rsid w:val="002053DA"/>
    <w:rsid w:val="002156BA"/>
    <w:rsid w:val="002218D5"/>
    <w:rsid w:val="00235C76"/>
    <w:rsid w:val="002367F9"/>
    <w:rsid w:val="0024119A"/>
    <w:rsid w:val="00257593"/>
    <w:rsid w:val="00266524"/>
    <w:rsid w:val="00272CD7"/>
    <w:rsid w:val="00273005"/>
    <w:rsid w:val="00273011"/>
    <w:rsid w:val="002868FE"/>
    <w:rsid w:val="00294687"/>
    <w:rsid w:val="00294B30"/>
    <w:rsid w:val="002B2977"/>
    <w:rsid w:val="002B5228"/>
    <w:rsid w:val="002B5768"/>
    <w:rsid w:val="002E00B7"/>
    <w:rsid w:val="002E36B0"/>
    <w:rsid w:val="002F3C20"/>
    <w:rsid w:val="00302EF6"/>
    <w:rsid w:val="00306EAF"/>
    <w:rsid w:val="00326A36"/>
    <w:rsid w:val="00330BCC"/>
    <w:rsid w:val="00353471"/>
    <w:rsid w:val="00353E13"/>
    <w:rsid w:val="003559B1"/>
    <w:rsid w:val="0035654E"/>
    <w:rsid w:val="00362662"/>
    <w:rsid w:val="00364704"/>
    <w:rsid w:val="00365B97"/>
    <w:rsid w:val="00375BEF"/>
    <w:rsid w:val="0037620F"/>
    <w:rsid w:val="003769F7"/>
    <w:rsid w:val="003771A6"/>
    <w:rsid w:val="003859E4"/>
    <w:rsid w:val="003938FB"/>
    <w:rsid w:val="003A28CE"/>
    <w:rsid w:val="003A3DAB"/>
    <w:rsid w:val="003C0B63"/>
    <w:rsid w:val="003C117F"/>
    <w:rsid w:val="003C2580"/>
    <w:rsid w:val="003D7F3B"/>
    <w:rsid w:val="003E7119"/>
    <w:rsid w:val="003F34DD"/>
    <w:rsid w:val="003F4644"/>
    <w:rsid w:val="003F719F"/>
    <w:rsid w:val="0040064B"/>
    <w:rsid w:val="0040198A"/>
    <w:rsid w:val="00401F8C"/>
    <w:rsid w:val="00411F27"/>
    <w:rsid w:val="00412957"/>
    <w:rsid w:val="00433549"/>
    <w:rsid w:val="004369E9"/>
    <w:rsid w:val="00470EC9"/>
    <w:rsid w:val="00496D16"/>
    <w:rsid w:val="00496DB6"/>
    <w:rsid w:val="004A633F"/>
    <w:rsid w:val="004B14BA"/>
    <w:rsid w:val="004B2C9D"/>
    <w:rsid w:val="004C4D34"/>
    <w:rsid w:val="004D074E"/>
    <w:rsid w:val="004D07E0"/>
    <w:rsid w:val="004F1F0B"/>
    <w:rsid w:val="005027DF"/>
    <w:rsid w:val="00504D89"/>
    <w:rsid w:val="00526E5E"/>
    <w:rsid w:val="00527433"/>
    <w:rsid w:val="005331E0"/>
    <w:rsid w:val="00535FBE"/>
    <w:rsid w:val="00554C64"/>
    <w:rsid w:val="00555045"/>
    <w:rsid w:val="0055525B"/>
    <w:rsid w:val="0055782D"/>
    <w:rsid w:val="00566B69"/>
    <w:rsid w:val="00591991"/>
    <w:rsid w:val="005925C2"/>
    <w:rsid w:val="00595E10"/>
    <w:rsid w:val="005C134F"/>
    <w:rsid w:val="005C3E8B"/>
    <w:rsid w:val="005C7777"/>
    <w:rsid w:val="005D0ECB"/>
    <w:rsid w:val="005D0FDF"/>
    <w:rsid w:val="005D586A"/>
    <w:rsid w:val="005E280C"/>
    <w:rsid w:val="005E68F0"/>
    <w:rsid w:val="005F0258"/>
    <w:rsid w:val="006059A0"/>
    <w:rsid w:val="00636235"/>
    <w:rsid w:val="00644529"/>
    <w:rsid w:val="00647483"/>
    <w:rsid w:val="0065768E"/>
    <w:rsid w:val="00672A3B"/>
    <w:rsid w:val="00677F67"/>
    <w:rsid w:val="00682223"/>
    <w:rsid w:val="00697C91"/>
    <w:rsid w:val="006A2389"/>
    <w:rsid w:val="006B667D"/>
    <w:rsid w:val="006C4E9A"/>
    <w:rsid w:val="006C6F24"/>
    <w:rsid w:val="006C7796"/>
    <w:rsid w:val="006D5DEE"/>
    <w:rsid w:val="006F0A41"/>
    <w:rsid w:val="006F36F4"/>
    <w:rsid w:val="006F394C"/>
    <w:rsid w:val="006F684B"/>
    <w:rsid w:val="00702416"/>
    <w:rsid w:val="00711ADB"/>
    <w:rsid w:val="007147EA"/>
    <w:rsid w:val="007257CF"/>
    <w:rsid w:val="00731FFD"/>
    <w:rsid w:val="00734484"/>
    <w:rsid w:val="00754FF2"/>
    <w:rsid w:val="00755C77"/>
    <w:rsid w:val="00757409"/>
    <w:rsid w:val="007637F9"/>
    <w:rsid w:val="0079750B"/>
    <w:rsid w:val="007A3066"/>
    <w:rsid w:val="007B24CD"/>
    <w:rsid w:val="007B2DA6"/>
    <w:rsid w:val="007C3DC8"/>
    <w:rsid w:val="007C4C5F"/>
    <w:rsid w:val="007C4ED9"/>
    <w:rsid w:val="007C6E11"/>
    <w:rsid w:val="007D0FC2"/>
    <w:rsid w:val="007D621B"/>
    <w:rsid w:val="007E0327"/>
    <w:rsid w:val="007E4139"/>
    <w:rsid w:val="007E6FC4"/>
    <w:rsid w:val="00801445"/>
    <w:rsid w:val="008147B5"/>
    <w:rsid w:val="00817C69"/>
    <w:rsid w:val="008266D4"/>
    <w:rsid w:val="00846701"/>
    <w:rsid w:val="00847523"/>
    <w:rsid w:val="0085049F"/>
    <w:rsid w:val="00852B67"/>
    <w:rsid w:val="00855F93"/>
    <w:rsid w:val="00862C1F"/>
    <w:rsid w:val="008740A8"/>
    <w:rsid w:val="00875160"/>
    <w:rsid w:val="008753AD"/>
    <w:rsid w:val="0089068A"/>
    <w:rsid w:val="0089543D"/>
    <w:rsid w:val="00897FDD"/>
    <w:rsid w:val="008C0BA3"/>
    <w:rsid w:val="008C12A8"/>
    <w:rsid w:val="008C22F7"/>
    <w:rsid w:val="008C3ACB"/>
    <w:rsid w:val="008D756F"/>
    <w:rsid w:val="008E1789"/>
    <w:rsid w:val="008E5677"/>
    <w:rsid w:val="008E77A8"/>
    <w:rsid w:val="008F16D3"/>
    <w:rsid w:val="008F79D0"/>
    <w:rsid w:val="009109B0"/>
    <w:rsid w:val="00913AE9"/>
    <w:rsid w:val="00931DB6"/>
    <w:rsid w:val="00934A76"/>
    <w:rsid w:val="00936C5E"/>
    <w:rsid w:val="00937AD6"/>
    <w:rsid w:val="00951DA8"/>
    <w:rsid w:val="009547C4"/>
    <w:rsid w:val="00960FCA"/>
    <w:rsid w:val="00961DE3"/>
    <w:rsid w:val="009656FD"/>
    <w:rsid w:val="009661C0"/>
    <w:rsid w:val="00983945"/>
    <w:rsid w:val="009B2438"/>
    <w:rsid w:val="009B6807"/>
    <w:rsid w:val="009C19ED"/>
    <w:rsid w:val="009D6252"/>
    <w:rsid w:val="009E42E8"/>
    <w:rsid w:val="009E623D"/>
    <w:rsid w:val="00A14AD9"/>
    <w:rsid w:val="00A151C0"/>
    <w:rsid w:val="00A2043B"/>
    <w:rsid w:val="00A261AA"/>
    <w:rsid w:val="00A4608D"/>
    <w:rsid w:val="00A84E6E"/>
    <w:rsid w:val="00A87A65"/>
    <w:rsid w:val="00AA1B7A"/>
    <w:rsid w:val="00AB6628"/>
    <w:rsid w:val="00AC04DD"/>
    <w:rsid w:val="00AD4D9A"/>
    <w:rsid w:val="00AF6DE9"/>
    <w:rsid w:val="00B120E3"/>
    <w:rsid w:val="00B12886"/>
    <w:rsid w:val="00B21B66"/>
    <w:rsid w:val="00B26250"/>
    <w:rsid w:val="00B30AA3"/>
    <w:rsid w:val="00B55DC3"/>
    <w:rsid w:val="00B5775A"/>
    <w:rsid w:val="00B729BA"/>
    <w:rsid w:val="00B817FB"/>
    <w:rsid w:val="00B952F9"/>
    <w:rsid w:val="00BC2260"/>
    <w:rsid w:val="00BD3EA8"/>
    <w:rsid w:val="00BE439E"/>
    <w:rsid w:val="00BF06CD"/>
    <w:rsid w:val="00C002BC"/>
    <w:rsid w:val="00C04DD5"/>
    <w:rsid w:val="00C1101D"/>
    <w:rsid w:val="00C26212"/>
    <w:rsid w:val="00C35B61"/>
    <w:rsid w:val="00C4023E"/>
    <w:rsid w:val="00C43148"/>
    <w:rsid w:val="00C4356E"/>
    <w:rsid w:val="00C4673E"/>
    <w:rsid w:val="00C80B66"/>
    <w:rsid w:val="00C85F74"/>
    <w:rsid w:val="00CA0E98"/>
    <w:rsid w:val="00CB4CD9"/>
    <w:rsid w:val="00CB693B"/>
    <w:rsid w:val="00CC7DC6"/>
    <w:rsid w:val="00CD731E"/>
    <w:rsid w:val="00CE6BAF"/>
    <w:rsid w:val="00CF18D2"/>
    <w:rsid w:val="00CF3487"/>
    <w:rsid w:val="00CF7535"/>
    <w:rsid w:val="00D0223E"/>
    <w:rsid w:val="00D10980"/>
    <w:rsid w:val="00D10BC5"/>
    <w:rsid w:val="00D12222"/>
    <w:rsid w:val="00D16199"/>
    <w:rsid w:val="00D2027D"/>
    <w:rsid w:val="00D34056"/>
    <w:rsid w:val="00D36CF4"/>
    <w:rsid w:val="00D41E57"/>
    <w:rsid w:val="00D456FF"/>
    <w:rsid w:val="00D46DA0"/>
    <w:rsid w:val="00D512F6"/>
    <w:rsid w:val="00D53C3D"/>
    <w:rsid w:val="00D53CBA"/>
    <w:rsid w:val="00D77D8D"/>
    <w:rsid w:val="00D834E8"/>
    <w:rsid w:val="00D87C99"/>
    <w:rsid w:val="00D96144"/>
    <w:rsid w:val="00DB1112"/>
    <w:rsid w:val="00DD09CF"/>
    <w:rsid w:val="00DE3E8A"/>
    <w:rsid w:val="00DE3F4A"/>
    <w:rsid w:val="00DE5513"/>
    <w:rsid w:val="00E1002C"/>
    <w:rsid w:val="00E11E2C"/>
    <w:rsid w:val="00E222E4"/>
    <w:rsid w:val="00E236C2"/>
    <w:rsid w:val="00E25179"/>
    <w:rsid w:val="00E27DCE"/>
    <w:rsid w:val="00E30159"/>
    <w:rsid w:val="00E3195F"/>
    <w:rsid w:val="00E36337"/>
    <w:rsid w:val="00E3634A"/>
    <w:rsid w:val="00E4406A"/>
    <w:rsid w:val="00E44755"/>
    <w:rsid w:val="00E525DF"/>
    <w:rsid w:val="00E53192"/>
    <w:rsid w:val="00E65372"/>
    <w:rsid w:val="00E6596A"/>
    <w:rsid w:val="00E67387"/>
    <w:rsid w:val="00E67984"/>
    <w:rsid w:val="00E67D78"/>
    <w:rsid w:val="00E81B34"/>
    <w:rsid w:val="00E81F8A"/>
    <w:rsid w:val="00E87F3C"/>
    <w:rsid w:val="00E9629C"/>
    <w:rsid w:val="00E96FDC"/>
    <w:rsid w:val="00EA63C1"/>
    <w:rsid w:val="00EB09C3"/>
    <w:rsid w:val="00EC313B"/>
    <w:rsid w:val="00EC35B7"/>
    <w:rsid w:val="00EC6110"/>
    <w:rsid w:val="00EF5B06"/>
    <w:rsid w:val="00F233B6"/>
    <w:rsid w:val="00F27D9D"/>
    <w:rsid w:val="00F32BEA"/>
    <w:rsid w:val="00F358BC"/>
    <w:rsid w:val="00F3737A"/>
    <w:rsid w:val="00F419C5"/>
    <w:rsid w:val="00F600BA"/>
    <w:rsid w:val="00F619CC"/>
    <w:rsid w:val="00F81F46"/>
    <w:rsid w:val="00F827F2"/>
    <w:rsid w:val="00F86264"/>
    <w:rsid w:val="00F86C6F"/>
    <w:rsid w:val="00FC4E35"/>
    <w:rsid w:val="00FE439C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45D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59A0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rsid w:val="00294B30"/>
    <w:pPr>
      <w:ind w:left="720"/>
      <w:contextualSpacing/>
    </w:pPr>
  </w:style>
  <w:style w:type="character" w:styleId="Platzhaltertext">
    <w:name w:val="Placeholder Text"/>
    <w:basedOn w:val="Absatz-Standardschriftart"/>
    <w:rsid w:val="00294B30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3317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3317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6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2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20C9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20C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20C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20C9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20C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20C9A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3A3DAB"/>
    <w:pPr>
      <w:autoSpaceDN/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AC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04DD"/>
  </w:style>
  <w:style w:type="paragraph" w:styleId="Fuzeile">
    <w:name w:val="footer"/>
    <w:basedOn w:val="Standard"/>
    <w:link w:val="FuzeileZchn"/>
    <w:uiPriority w:val="99"/>
    <w:unhideWhenUsed/>
    <w:rsid w:val="00AC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0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t-andrews.ac.uk/physics/quvis/de/simulations/sims/photons-particles-waves-de/photons-particles-waves-d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89F9B-6C99-451E-ACCC-01B8D139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2024-02-17T15:08:00Z</dcterms:created>
  <dcterms:modified xsi:type="dcterms:W3CDTF">2024-02-17T15:08:00Z</dcterms:modified>
</cp:coreProperties>
</file>