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6804"/>
        <w:gridCol w:w="2193"/>
      </w:tblGrid>
      <w:tr w:rsidR="00781B2F" w14:paraId="476C8E23" w14:textId="77777777" w:rsidTr="00EB67B9">
        <w:trPr>
          <w:trHeight w:val="613"/>
        </w:trPr>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0297257A" w14:textId="77777777" w:rsidR="00781B2F" w:rsidRPr="003A4F9C" w:rsidRDefault="009424FA" w:rsidP="009424FA">
            <w:pPr>
              <w:spacing w:beforeLines="60" w:before="144" w:afterLines="60" w:after="144"/>
              <w:jc w:val="center"/>
              <w:rPr>
                <w:rFonts w:ascii="Arial" w:hAnsi="Arial" w:cs="Arial"/>
                <w:b/>
                <w:bCs/>
                <w:sz w:val="32"/>
              </w:rPr>
            </w:pPr>
            <w:r w:rsidRPr="003A4F9C">
              <w:rPr>
                <w:rFonts w:ascii="Arial" w:hAnsi="Arial" w:cs="Arial"/>
                <w:b/>
                <w:bCs/>
                <w:sz w:val="32"/>
              </w:rPr>
              <w:t>Elektronenbeugung</w:t>
            </w:r>
            <w:r w:rsidRPr="003A4F9C">
              <w:rPr>
                <w:rFonts w:ascii="Arial" w:hAnsi="Arial" w:cs="Arial"/>
                <w:b/>
                <w:bCs/>
                <w:sz w:val="32"/>
              </w:rPr>
              <w:br/>
              <w:t xml:space="preserve">quantitative Auswertung </w:t>
            </w:r>
          </w:p>
        </w:tc>
        <w:tc>
          <w:tcPr>
            <w:tcW w:w="227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7B85647A" w14:textId="59556C54" w:rsidR="00781B2F" w:rsidRDefault="00AA5270" w:rsidP="009424FA">
            <w:pPr>
              <w:spacing w:beforeLines="60" w:before="144" w:afterLines="60" w:after="144"/>
              <w:rPr>
                <w:rFonts w:ascii="Arial" w:hAnsi="Arial" w:cs="Arial"/>
              </w:rPr>
            </w:pPr>
            <w:r>
              <w:rPr>
                <w:rFonts w:ascii="Arial" w:hAnsi="Arial" w:cs="Arial"/>
              </w:rPr>
              <w:t xml:space="preserve">Stand: </w:t>
            </w:r>
            <w:r w:rsidR="004D33B2">
              <w:rPr>
                <w:rFonts w:ascii="Arial" w:hAnsi="Arial" w:cs="Arial"/>
              </w:rPr>
              <w:t>0</w:t>
            </w:r>
            <w:r w:rsidR="00A750EE">
              <w:rPr>
                <w:rFonts w:ascii="Arial" w:hAnsi="Arial" w:cs="Arial"/>
              </w:rPr>
              <w:t>8</w:t>
            </w:r>
            <w:r w:rsidR="004D33B2">
              <w:rPr>
                <w:rFonts w:ascii="Arial" w:hAnsi="Arial" w:cs="Arial"/>
              </w:rPr>
              <w:t>.09.2023</w:t>
            </w:r>
          </w:p>
        </w:tc>
      </w:tr>
      <w:tr w:rsidR="00284C50" w:rsidRPr="00284C50" w14:paraId="029CA981" w14:textId="77777777" w:rsidTr="00F270F2">
        <w:trPr>
          <w:trHeight w:val="613"/>
        </w:trPr>
        <w:tc>
          <w:tcPr>
            <w:tcW w:w="9081"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2A95C230" w14:textId="77777777" w:rsidR="00284C50" w:rsidRPr="00284C50" w:rsidRDefault="00284C50" w:rsidP="00284C50">
            <w:pPr>
              <w:spacing w:beforeLines="60" w:before="144" w:afterLines="60" w:after="144"/>
              <w:rPr>
                <w:rFonts w:asciiTheme="minorHAnsi" w:hAnsiTheme="minorHAnsi" w:cstheme="minorHAnsi"/>
                <w:b/>
                <w:bCs/>
                <w:sz w:val="22"/>
              </w:rPr>
            </w:pPr>
            <w:r w:rsidRPr="00284C50">
              <w:rPr>
                <w:rFonts w:asciiTheme="minorHAnsi" w:hAnsiTheme="minorHAnsi" w:cstheme="minorHAnsi"/>
                <w:b/>
                <w:bCs/>
                <w:sz w:val="22"/>
              </w:rPr>
              <w:t>Beschreibung und Zielsetzung dieser Stunde</w:t>
            </w:r>
          </w:p>
          <w:p w14:paraId="77BF6EB7" w14:textId="439F5192" w:rsidR="001045D5" w:rsidRDefault="00284C50" w:rsidP="00284C50">
            <w:pPr>
              <w:spacing w:beforeLines="60" w:before="144" w:afterLines="60" w:after="144"/>
              <w:rPr>
                <w:rFonts w:asciiTheme="minorHAnsi" w:hAnsiTheme="minorHAnsi" w:cstheme="minorHAnsi"/>
                <w:bCs/>
                <w:sz w:val="22"/>
              </w:rPr>
            </w:pPr>
            <w:r w:rsidRPr="00284C50">
              <w:rPr>
                <w:rFonts w:asciiTheme="minorHAnsi" w:hAnsiTheme="minorHAnsi" w:cstheme="minorHAnsi"/>
                <w:bCs/>
                <w:sz w:val="22"/>
              </w:rPr>
              <w:t>Nach den qualitativen Betrachtungen in den letzten beiden Stunden, beinhaltet</w:t>
            </w:r>
            <w:r w:rsidR="001045D5">
              <w:rPr>
                <w:rFonts w:asciiTheme="minorHAnsi" w:hAnsiTheme="minorHAnsi" w:cstheme="minorHAnsi"/>
                <w:bCs/>
                <w:sz w:val="22"/>
              </w:rPr>
              <w:t>en</w:t>
            </w:r>
            <w:r w:rsidRPr="00284C50">
              <w:rPr>
                <w:rFonts w:asciiTheme="minorHAnsi" w:hAnsiTheme="minorHAnsi" w:cstheme="minorHAnsi"/>
                <w:bCs/>
                <w:sz w:val="22"/>
              </w:rPr>
              <w:t xml:space="preserve"> die</w:t>
            </w:r>
            <w:r w:rsidR="004D33B2">
              <w:rPr>
                <w:rFonts w:asciiTheme="minorHAnsi" w:hAnsiTheme="minorHAnsi" w:cstheme="minorHAnsi"/>
                <w:bCs/>
                <w:sz w:val="22"/>
              </w:rPr>
              <w:t>se</w:t>
            </w:r>
            <w:r w:rsidRPr="00284C50">
              <w:rPr>
                <w:rFonts w:asciiTheme="minorHAnsi" w:hAnsiTheme="minorHAnsi" w:cstheme="minorHAnsi"/>
                <w:bCs/>
                <w:sz w:val="22"/>
              </w:rPr>
              <w:t xml:space="preserve"> Stunde</w:t>
            </w:r>
            <w:r w:rsidR="001045D5">
              <w:rPr>
                <w:rFonts w:asciiTheme="minorHAnsi" w:hAnsiTheme="minorHAnsi" w:cstheme="minorHAnsi"/>
                <w:bCs/>
                <w:sz w:val="22"/>
              </w:rPr>
              <w:t>n</w:t>
            </w:r>
            <w:r w:rsidR="004D33B2">
              <w:rPr>
                <w:rFonts w:asciiTheme="minorHAnsi" w:hAnsiTheme="minorHAnsi" w:cstheme="minorHAnsi"/>
                <w:bCs/>
                <w:sz w:val="22"/>
              </w:rPr>
              <w:t xml:space="preserve"> </w:t>
            </w:r>
            <w:r w:rsidRPr="00284C50">
              <w:rPr>
                <w:rFonts w:asciiTheme="minorHAnsi" w:hAnsiTheme="minorHAnsi" w:cstheme="minorHAnsi"/>
                <w:bCs/>
                <w:sz w:val="22"/>
              </w:rPr>
              <w:t xml:space="preserve">die quantitativen Aspekte des Experiments zur Elektronenbeugung. </w:t>
            </w:r>
            <w:r w:rsidR="001045D5">
              <w:rPr>
                <w:rFonts w:asciiTheme="minorHAnsi" w:hAnsiTheme="minorHAnsi" w:cstheme="minorHAnsi"/>
                <w:bCs/>
                <w:sz w:val="22"/>
              </w:rPr>
              <w:t>Vermutlich ist die Auswertung der Messdaten so zeitintensiv, dass für diese Arbeitsschritte zwei Stunden angesetzt werden müssen</w:t>
            </w:r>
          </w:p>
          <w:p w14:paraId="4E476D60" w14:textId="680B363F" w:rsidR="00284C50" w:rsidRPr="00284C50" w:rsidRDefault="00284C50" w:rsidP="00284C50">
            <w:pPr>
              <w:spacing w:beforeLines="60" w:before="144" w:afterLines="60" w:after="144"/>
              <w:rPr>
                <w:rFonts w:asciiTheme="minorHAnsi" w:hAnsiTheme="minorHAnsi" w:cstheme="minorHAnsi"/>
                <w:bCs/>
                <w:sz w:val="22"/>
              </w:rPr>
            </w:pPr>
            <w:r w:rsidRPr="00284C50">
              <w:rPr>
                <w:rFonts w:asciiTheme="minorHAnsi" w:hAnsiTheme="minorHAnsi" w:cstheme="minorHAnsi"/>
                <w:bCs/>
                <w:sz w:val="22"/>
              </w:rPr>
              <w:t>Ausgehend von historischen Bezügen bekommen die SuS den Auftrag, anhand der aufgenommen</w:t>
            </w:r>
            <w:r w:rsidR="003A4F9C">
              <w:rPr>
                <w:rFonts w:asciiTheme="minorHAnsi" w:hAnsiTheme="minorHAnsi" w:cstheme="minorHAnsi"/>
                <w:bCs/>
                <w:sz w:val="22"/>
              </w:rPr>
              <w:t>en</w:t>
            </w:r>
            <w:r w:rsidRPr="00284C50">
              <w:rPr>
                <w:rFonts w:asciiTheme="minorHAnsi" w:hAnsiTheme="minorHAnsi" w:cstheme="minorHAnsi"/>
                <w:bCs/>
                <w:sz w:val="22"/>
              </w:rPr>
              <w:t xml:space="preserve"> Messwerte die Antiproportionalität zwischen der Wellenlänge und Geschwindigkeit der Elektronen zu bestätige</w:t>
            </w:r>
            <w:r>
              <w:rPr>
                <w:rFonts w:asciiTheme="minorHAnsi" w:hAnsiTheme="minorHAnsi" w:cstheme="minorHAnsi"/>
                <w:bCs/>
                <w:sz w:val="22"/>
              </w:rPr>
              <w:t xml:space="preserve">n. Im Anschluss wird die </w:t>
            </w:r>
            <w:r w:rsidRPr="00284C50">
              <w:rPr>
                <w:rFonts w:asciiTheme="minorHAnsi" w:hAnsiTheme="minorHAnsi" w:cstheme="minorHAnsi"/>
                <w:bCs/>
                <w:sz w:val="22"/>
              </w:rPr>
              <w:t xml:space="preserve">de-Broglie-Gleichung präsentiert. </w:t>
            </w:r>
          </w:p>
          <w:p w14:paraId="253BCFB9" w14:textId="77777777" w:rsidR="00284C50" w:rsidRPr="00284C50" w:rsidRDefault="00284C50" w:rsidP="00284C50">
            <w:pPr>
              <w:spacing w:beforeLines="60" w:before="144" w:afterLines="60" w:after="144"/>
              <w:rPr>
                <w:rFonts w:asciiTheme="minorHAnsi" w:hAnsiTheme="minorHAnsi" w:cstheme="minorHAnsi"/>
                <w:sz w:val="22"/>
              </w:rPr>
            </w:pPr>
            <w:r w:rsidRPr="00284C50">
              <w:rPr>
                <w:rFonts w:asciiTheme="minorHAnsi" w:hAnsiTheme="minorHAnsi" w:cstheme="minorHAnsi"/>
                <w:sz w:val="22"/>
              </w:rPr>
              <w:t>Die folgende Beschreibung stellt ein zeitlich kompaktes Minimalkonzept vor. Die Auswertung sieht „nur“ ein Bestätigen der Antiproportionalität vor, auf ein zeitintensives Auswerten inklusive dem Auffinden einer Regression wird hier verzichtet. Jedoch können je nach zur Verfügung stehender Zeit und Lerngruppe Erweiterungen sinnvoll angeknüpft werden.</w:t>
            </w:r>
          </w:p>
        </w:tc>
      </w:tr>
      <w:tr w:rsidR="00284C50" w:rsidRPr="00284C50" w14:paraId="088D543F" w14:textId="77777777" w:rsidTr="00F270F2">
        <w:trPr>
          <w:trHeight w:val="613"/>
        </w:trPr>
        <w:tc>
          <w:tcPr>
            <w:tcW w:w="9081"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4F1F5D4E" w14:textId="77777777" w:rsidR="00284C50" w:rsidRPr="00284C50" w:rsidRDefault="00284C50" w:rsidP="00C538C9">
            <w:pPr>
              <w:spacing w:before="60" w:after="60"/>
              <w:rPr>
                <w:rFonts w:asciiTheme="minorHAnsi" w:hAnsiTheme="minorHAnsi" w:cstheme="minorHAnsi"/>
                <w:sz w:val="22"/>
              </w:rPr>
            </w:pPr>
            <w:r w:rsidRPr="00284C50">
              <w:rPr>
                <w:rFonts w:asciiTheme="minorHAnsi" w:hAnsiTheme="minorHAnsi" w:cstheme="minorHAnsi"/>
                <w:b/>
                <w:sz w:val="22"/>
              </w:rPr>
              <w:t>Voraussetzungen:</w:t>
            </w:r>
            <w:r w:rsidRPr="00284C50">
              <w:rPr>
                <w:rFonts w:asciiTheme="minorHAnsi" w:hAnsiTheme="minorHAnsi" w:cstheme="minorHAnsi"/>
                <w:sz w:val="22"/>
              </w:rPr>
              <w:t xml:space="preserve">  Die Schülerinnen und Schüler …</w:t>
            </w:r>
          </w:p>
          <w:p w14:paraId="014B4FF6" w14:textId="77777777"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berechnen die Geschwindigkeit von in einem elektrischen Feld beschleunigten Elektronen</w:t>
            </w:r>
          </w:p>
          <w:p w14:paraId="41473395" w14:textId="7785779B"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 xml:space="preserve">berechnen mit einer Gleichung für Interferenzphänomene am Doppelspalt </w:t>
            </w:r>
            <w:r w:rsidR="004D33B2">
              <w:rPr>
                <w:rFonts w:asciiTheme="minorHAnsi" w:hAnsiTheme="minorHAnsi" w:cstheme="minorHAnsi"/>
                <w:sz w:val="22"/>
              </w:rPr>
              <w:t>bzw.</w:t>
            </w:r>
            <w:r w:rsidRPr="00284C50">
              <w:rPr>
                <w:rFonts w:asciiTheme="minorHAnsi" w:hAnsiTheme="minorHAnsi" w:cstheme="minorHAnsi"/>
                <w:sz w:val="22"/>
              </w:rPr>
              <w:t xml:space="preserve"> Gitter relevante Größen</w:t>
            </w:r>
          </w:p>
          <w:p w14:paraId="6392C334" w14:textId="77777777"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deuten ringförmige Interferenzmuster qualitativ</w:t>
            </w:r>
            <w:r w:rsidR="00C538C9">
              <w:rPr>
                <w:rFonts w:asciiTheme="minorHAnsi" w:hAnsiTheme="minorHAnsi" w:cstheme="minorHAnsi"/>
                <w:sz w:val="22"/>
              </w:rPr>
              <w:t xml:space="preserve">, z. B. </w:t>
            </w:r>
            <w:r>
              <w:rPr>
                <w:rFonts w:asciiTheme="minorHAnsi" w:hAnsiTheme="minorHAnsi" w:cstheme="minorHAnsi"/>
                <w:sz w:val="22"/>
              </w:rPr>
              <w:t xml:space="preserve">mithilfe </w:t>
            </w:r>
            <w:r w:rsidRPr="00284C50">
              <w:rPr>
                <w:rFonts w:asciiTheme="minorHAnsi" w:hAnsiTheme="minorHAnsi" w:cstheme="minorHAnsi"/>
                <w:sz w:val="22"/>
              </w:rPr>
              <w:t xml:space="preserve">von Koppelmanndia erzeugte </w:t>
            </w:r>
            <w:r>
              <w:rPr>
                <w:rFonts w:asciiTheme="minorHAnsi" w:hAnsiTheme="minorHAnsi" w:cstheme="minorHAnsi"/>
                <w:sz w:val="22"/>
              </w:rPr>
              <w:t xml:space="preserve">Interferenzmuster </w:t>
            </w:r>
            <w:r w:rsidRPr="00284C50">
              <w:rPr>
                <w:rFonts w:asciiTheme="minorHAnsi" w:hAnsiTheme="minorHAnsi" w:cstheme="minorHAnsi"/>
                <w:sz w:val="22"/>
              </w:rPr>
              <w:t>(optische Analogieversuche an Transmissionsgittern)</w:t>
            </w:r>
          </w:p>
          <w:p w14:paraId="105792A9" w14:textId="77777777"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 xml:space="preserve">beschreiben auf Grundlage der Beobachtungen an der Elektronenbeugungsröhre, dass Elektronen Interferenzen zeigen </w:t>
            </w:r>
          </w:p>
          <w:p w14:paraId="0AA21F09" w14:textId="77777777"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beschreiben qualitativ den Einfluss der Beschleunigungsspannung auf den Radius der Interferenzringe</w:t>
            </w:r>
          </w:p>
        </w:tc>
      </w:tr>
      <w:tr w:rsidR="00284C50" w:rsidRPr="00284C50" w14:paraId="3492A611" w14:textId="77777777" w:rsidTr="00F270F2">
        <w:trPr>
          <w:trHeight w:val="613"/>
        </w:trPr>
        <w:tc>
          <w:tcPr>
            <w:tcW w:w="9081"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30E59C4D" w14:textId="77777777" w:rsidR="00284C50" w:rsidRPr="00284C50" w:rsidRDefault="00284C50" w:rsidP="00C538C9">
            <w:pPr>
              <w:spacing w:before="60" w:after="60"/>
              <w:rPr>
                <w:rFonts w:asciiTheme="minorHAnsi" w:hAnsiTheme="minorHAnsi" w:cstheme="minorHAnsi"/>
                <w:sz w:val="22"/>
              </w:rPr>
            </w:pPr>
            <w:r w:rsidRPr="00284C50">
              <w:rPr>
                <w:rFonts w:asciiTheme="minorHAnsi" w:hAnsiTheme="minorHAnsi" w:cstheme="minorHAnsi"/>
                <w:b/>
                <w:sz w:val="22"/>
              </w:rPr>
              <w:t>Kompetenzen</w:t>
            </w:r>
            <w:r w:rsidRPr="00284C50">
              <w:rPr>
                <w:rFonts w:asciiTheme="minorHAnsi" w:hAnsiTheme="minorHAnsi" w:cstheme="minorHAnsi"/>
                <w:sz w:val="22"/>
              </w:rPr>
              <w:t>: Die Schülerinnen und Schüler …</w:t>
            </w:r>
          </w:p>
          <w:p w14:paraId="73A9FE47" w14:textId="66E07B4A" w:rsidR="00C538C9" w:rsidRDefault="00C538C9" w:rsidP="00C538C9">
            <w:pPr>
              <w:numPr>
                <w:ilvl w:val="0"/>
                <w:numId w:val="1"/>
              </w:numPr>
              <w:spacing w:before="60" w:after="60"/>
              <w:rPr>
                <w:rFonts w:asciiTheme="minorHAnsi" w:hAnsiTheme="minorHAnsi" w:cstheme="minorHAnsi"/>
                <w:sz w:val="22"/>
              </w:rPr>
            </w:pPr>
            <w:r>
              <w:rPr>
                <w:rFonts w:asciiTheme="minorHAnsi" w:hAnsiTheme="minorHAnsi" w:cstheme="minorHAnsi"/>
                <w:sz w:val="22"/>
              </w:rPr>
              <w:t xml:space="preserve">beschreiben das Experiment mit der Elektronenbeugungsröhre (vgl. </w:t>
            </w:r>
            <w:proofErr w:type="gramStart"/>
            <w:r>
              <w:rPr>
                <w:rFonts w:asciiTheme="minorHAnsi" w:hAnsiTheme="minorHAnsi" w:cstheme="minorHAnsi"/>
                <w:sz w:val="22"/>
              </w:rPr>
              <w:t>KC-GO</w:t>
            </w:r>
            <w:proofErr w:type="gramEnd"/>
            <w:r>
              <w:rPr>
                <w:rFonts w:asciiTheme="minorHAnsi" w:hAnsiTheme="minorHAnsi" w:cstheme="minorHAnsi"/>
                <w:sz w:val="22"/>
              </w:rPr>
              <w:t xml:space="preserve"> S. </w:t>
            </w:r>
            <w:r w:rsidR="00697334">
              <w:rPr>
                <w:rFonts w:asciiTheme="minorHAnsi" w:hAnsiTheme="minorHAnsi" w:cstheme="minorHAnsi"/>
                <w:sz w:val="22"/>
              </w:rPr>
              <w:t>40</w:t>
            </w:r>
            <w:r>
              <w:rPr>
                <w:rFonts w:asciiTheme="minorHAnsi" w:hAnsiTheme="minorHAnsi" w:cstheme="minorHAnsi"/>
                <w:sz w:val="22"/>
              </w:rPr>
              <w:t>)</w:t>
            </w:r>
          </w:p>
          <w:p w14:paraId="5B8CCE7F" w14:textId="77777777"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berechnen die Geschwindigkeit der in der Elektronenbeugungsröhre beschleunigten Elektronen</w:t>
            </w:r>
          </w:p>
          <w:p w14:paraId="43DABCC5" w14:textId="77777777"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 xml:space="preserve">berechnen durch Auswertung des Interferenzmusters die Wellenlänge bei Elektronen </w:t>
            </w:r>
          </w:p>
          <w:p w14:paraId="3988BB37" w14:textId="4C07F45D"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 xml:space="preserve">bestätigen durch angeleitete Auswertung von Messwerten die Antiproportionalität zwischen Wellenlänge und Geschwindigkeit. (vgl. KC-GO, S. </w:t>
            </w:r>
            <w:r w:rsidR="00697334">
              <w:rPr>
                <w:rFonts w:asciiTheme="minorHAnsi" w:hAnsiTheme="minorHAnsi" w:cstheme="minorHAnsi"/>
                <w:sz w:val="22"/>
              </w:rPr>
              <w:t>40</w:t>
            </w:r>
            <w:r w:rsidRPr="00284C50">
              <w:rPr>
                <w:rFonts w:asciiTheme="minorHAnsi" w:hAnsiTheme="minorHAnsi" w:cstheme="minorHAnsi"/>
                <w:sz w:val="22"/>
              </w:rPr>
              <w:t>)</w:t>
            </w:r>
          </w:p>
          <w:p w14:paraId="4D830B2A" w14:textId="77777777"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dokumentieren ihre Auswertung</w:t>
            </w:r>
          </w:p>
          <w:p w14:paraId="37503076" w14:textId="77777777" w:rsidR="00C538C9" w:rsidRDefault="00C538C9" w:rsidP="00C538C9">
            <w:pPr>
              <w:numPr>
                <w:ilvl w:val="0"/>
                <w:numId w:val="1"/>
              </w:numPr>
              <w:spacing w:before="60" w:after="60"/>
              <w:rPr>
                <w:rFonts w:asciiTheme="minorHAnsi" w:hAnsiTheme="minorHAnsi" w:cstheme="minorHAnsi"/>
                <w:sz w:val="22"/>
              </w:rPr>
            </w:pPr>
            <w:r w:rsidRPr="00C538C9">
              <w:rPr>
                <w:rFonts w:asciiTheme="minorHAnsi" w:hAnsiTheme="minorHAnsi" w:cstheme="minorHAnsi"/>
                <w:sz w:val="22"/>
              </w:rPr>
              <w:t xml:space="preserve">präsentieren Arbeitsergebnisse situations- und adressatengerecht unter Verwendung </w:t>
            </w:r>
            <w:r>
              <w:rPr>
                <w:rFonts w:asciiTheme="minorHAnsi" w:hAnsiTheme="minorHAnsi" w:cstheme="minorHAnsi"/>
                <w:sz w:val="22"/>
              </w:rPr>
              <w:t>geeigneter Darstellungsmethoden</w:t>
            </w:r>
          </w:p>
          <w:p w14:paraId="1A5FEF6B" w14:textId="4889F6DC" w:rsidR="00284C50" w:rsidRP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 xml:space="preserve">erkennen in diesem Zusammenhang das Auftreten der </w:t>
            </w:r>
            <w:r w:rsidR="00697334" w:rsidRPr="00284C50">
              <w:rPr>
                <w:rFonts w:asciiTheme="minorHAnsi" w:hAnsiTheme="minorHAnsi" w:cstheme="minorHAnsi"/>
                <w:sz w:val="22"/>
              </w:rPr>
              <w:t>Planck’schen</w:t>
            </w:r>
            <w:r w:rsidRPr="00284C50">
              <w:rPr>
                <w:rFonts w:asciiTheme="minorHAnsi" w:hAnsiTheme="minorHAnsi" w:cstheme="minorHAnsi"/>
                <w:sz w:val="22"/>
              </w:rPr>
              <w:t xml:space="preserve"> Konstante </w:t>
            </w:r>
            <m:oMath>
              <m:r>
                <w:rPr>
                  <w:rFonts w:ascii="Cambria Math" w:hAnsi="Cambria Math" w:cstheme="minorHAnsi"/>
                  <w:sz w:val="22"/>
                </w:rPr>
                <m:t>h</m:t>
              </m:r>
            </m:oMath>
            <w:r w:rsidRPr="00284C50">
              <w:rPr>
                <w:rFonts w:asciiTheme="minorHAnsi" w:hAnsiTheme="minorHAnsi" w:cstheme="minorHAnsi"/>
                <w:sz w:val="22"/>
              </w:rPr>
              <w:t xml:space="preserve"> (je nach Verlauf der Einheit Quantenobjekte kann </w:t>
            </w:r>
            <m:oMath>
              <m:r>
                <w:rPr>
                  <w:rFonts w:ascii="Cambria Math" w:hAnsi="Cambria Math" w:cstheme="minorHAnsi"/>
                  <w:sz w:val="22"/>
                </w:rPr>
                <m:t>h</m:t>
              </m:r>
            </m:oMath>
            <w:r w:rsidRPr="00284C50">
              <w:rPr>
                <w:rFonts w:asciiTheme="minorHAnsi" w:hAnsiTheme="minorHAnsi" w:cstheme="minorHAnsi"/>
                <w:sz w:val="22"/>
              </w:rPr>
              <w:t xml:space="preserve"> hier eingeführt werden)</w:t>
            </w:r>
          </w:p>
          <w:p w14:paraId="6D709976" w14:textId="77777777" w:rsidR="00284C50" w:rsidRDefault="00284C50" w:rsidP="00C538C9">
            <w:pPr>
              <w:numPr>
                <w:ilvl w:val="0"/>
                <w:numId w:val="1"/>
              </w:numPr>
              <w:spacing w:before="60" w:after="60"/>
              <w:rPr>
                <w:rFonts w:asciiTheme="minorHAnsi" w:hAnsiTheme="minorHAnsi" w:cstheme="minorHAnsi"/>
                <w:sz w:val="22"/>
              </w:rPr>
            </w:pPr>
            <w:r w:rsidRPr="00284C50">
              <w:rPr>
                <w:rFonts w:asciiTheme="minorHAnsi" w:hAnsiTheme="minorHAnsi" w:cstheme="minorHAnsi"/>
                <w:sz w:val="22"/>
              </w:rPr>
              <w:t>notieren die de-Broglie-Gleichung in einer dem grundlegenden Niveau angemessen Form (ggf. ohne Impuls</w:t>
            </w:r>
            <w:r>
              <w:rPr>
                <w:rFonts w:asciiTheme="minorHAnsi" w:hAnsiTheme="minorHAnsi" w:cstheme="minorHAnsi"/>
                <w:sz w:val="22"/>
              </w:rPr>
              <w:t xml:space="preserve"> </w:t>
            </w:r>
            <m:oMath>
              <m:r>
                <w:rPr>
                  <w:rFonts w:ascii="Cambria Math" w:hAnsi="Cambria Math" w:cstheme="minorHAnsi"/>
                  <w:sz w:val="22"/>
                </w:rPr>
                <m:t>p</m:t>
              </m:r>
            </m:oMath>
            <w:r w:rsidRPr="00284C50">
              <w:rPr>
                <w:rFonts w:asciiTheme="minorHAnsi" w:hAnsiTheme="minorHAnsi" w:cstheme="minorHAnsi"/>
                <w:sz w:val="22"/>
              </w:rPr>
              <w:t>)</w:t>
            </w:r>
          </w:p>
          <w:p w14:paraId="13BC298C" w14:textId="087C7CDA" w:rsidR="00284C50" w:rsidRPr="00284C50" w:rsidRDefault="00C538C9" w:rsidP="00C538C9">
            <w:pPr>
              <w:pStyle w:val="Listenabsatz"/>
              <w:numPr>
                <w:ilvl w:val="0"/>
                <w:numId w:val="1"/>
              </w:numPr>
              <w:spacing w:before="60" w:after="60"/>
              <w:rPr>
                <w:rFonts w:asciiTheme="minorHAnsi" w:hAnsiTheme="minorHAnsi" w:cstheme="minorHAnsi"/>
                <w:sz w:val="22"/>
              </w:rPr>
            </w:pPr>
            <w:r w:rsidRPr="00284C50">
              <w:rPr>
                <w:rFonts w:asciiTheme="minorHAnsi" w:hAnsiTheme="minorHAnsi" w:cstheme="minorHAnsi"/>
                <w:sz w:val="22"/>
              </w:rPr>
              <w:t>ermitteln die Wellenlänge bei Elektronen mithilfe der de-Broglie-Gleichung</w:t>
            </w:r>
            <w:r>
              <w:rPr>
                <w:rFonts w:asciiTheme="minorHAnsi" w:hAnsiTheme="minorHAnsi" w:cstheme="minorHAnsi"/>
                <w:sz w:val="22"/>
              </w:rPr>
              <w:t xml:space="preserve"> (</w:t>
            </w:r>
            <w:r w:rsidRPr="00284C50">
              <w:rPr>
                <w:rFonts w:asciiTheme="minorHAnsi" w:hAnsiTheme="minorHAnsi" w:cstheme="minorHAnsi"/>
                <w:sz w:val="22"/>
              </w:rPr>
              <w:t xml:space="preserve">KC-GO, S. </w:t>
            </w:r>
            <w:r w:rsidR="00697334">
              <w:rPr>
                <w:rFonts w:asciiTheme="minorHAnsi" w:hAnsiTheme="minorHAnsi" w:cstheme="minorHAnsi"/>
                <w:sz w:val="22"/>
              </w:rPr>
              <w:t>40</w:t>
            </w:r>
            <w:r w:rsidRPr="00284C50">
              <w:rPr>
                <w:rFonts w:asciiTheme="minorHAnsi" w:hAnsiTheme="minorHAnsi" w:cstheme="minorHAnsi"/>
                <w:sz w:val="22"/>
              </w:rPr>
              <w:t>)</w:t>
            </w:r>
          </w:p>
        </w:tc>
      </w:tr>
      <w:tr w:rsidR="00284C50" w:rsidRPr="00284C50" w14:paraId="4735C10F" w14:textId="77777777" w:rsidTr="00826C36">
        <w:trPr>
          <w:cantSplit/>
          <w:trHeight w:val="11331"/>
        </w:trPr>
        <w:tc>
          <w:tcPr>
            <w:tcW w:w="9081"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78F9BB94" w14:textId="77777777" w:rsidR="00284C50" w:rsidRPr="00284C50" w:rsidRDefault="00284C50" w:rsidP="00284C50">
            <w:pPr>
              <w:spacing w:beforeLines="60" w:before="144" w:afterLines="60" w:after="144"/>
              <w:rPr>
                <w:rFonts w:asciiTheme="minorHAnsi" w:hAnsiTheme="minorHAnsi" w:cstheme="minorHAnsi"/>
                <w:b/>
                <w:sz w:val="22"/>
              </w:rPr>
            </w:pPr>
            <w:bookmarkStart w:id="0" w:name="_Hlk144905830"/>
            <w:r w:rsidRPr="00284C50">
              <w:rPr>
                <w:rFonts w:asciiTheme="minorHAnsi" w:hAnsiTheme="minorHAnsi" w:cstheme="minorHAnsi"/>
                <w:b/>
                <w:sz w:val="22"/>
              </w:rPr>
              <w:t>Stundenverlauf</w:t>
            </w:r>
            <w:r>
              <w:rPr>
                <w:rFonts w:asciiTheme="minorHAnsi" w:hAnsiTheme="minorHAnsi" w:cstheme="minorHAnsi"/>
                <w:b/>
                <w:sz w:val="22"/>
              </w:rPr>
              <w:t xml:space="preserve"> (Vorschlag)</w:t>
            </w:r>
            <w:r w:rsidRPr="00284C50">
              <w:rPr>
                <w:rFonts w:asciiTheme="minorHAnsi" w:hAnsiTheme="minorHAnsi" w:cstheme="minorHAnsi"/>
                <w:b/>
                <w:sz w:val="22"/>
              </w:rPr>
              <w:t>:</w:t>
            </w:r>
          </w:p>
          <w:tbl>
            <w:tblPr>
              <w:tblStyle w:val="Tabellenraster"/>
              <w:tblW w:w="8505" w:type="dxa"/>
              <w:tblInd w:w="214" w:type="dxa"/>
              <w:tblLook w:val="04A0" w:firstRow="1" w:lastRow="0" w:firstColumn="1" w:lastColumn="0" w:noHBand="0" w:noVBand="1"/>
            </w:tblPr>
            <w:tblGrid>
              <w:gridCol w:w="1417"/>
              <w:gridCol w:w="3828"/>
              <w:gridCol w:w="3260"/>
            </w:tblGrid>
            <w:tr w:rsidR="00284C50" w:rsidRPr="00284C50" w14:paraId="49D9441F" w14:textId="77777777" w:rsidTr="00826C36">
              <w:tc>
                <w:tcPr>
                  <w:tcW w:w="1417" w:type="dxa"/>
                </w:tcPr>
                <w:p w14:paraId="1F9E2211" w14:textId="77777777" w:rsidR="00284C50" w:rsidRPr="00284C50" w:rsidRDefault="00284C50" w:rsidP="00284C50">
                  <w:pPr>
                    <w:spacing w:beforeLines="60" w:before="144" w:afterLines="60" w:after="144"/>
                    <w:rPr>
                      <w:rFonts w:asciiTheme="minorHAnsi" w:hAnsiTheme="minorHAnsi" w:cstheme="minorHAnsi"/>
                      <w:b/>
                      <w:sz w:val="22"/>
                    </w:rPr>
                  </w:pPr>
                  <w:r w:rsidRPr="00284C50">
                    <w:rPr>
                      <w:rFonts w:asciiTheme="minorHAnsi" w:hAnsiTheme="minorHAnsi" w:cstheme="minorHAnsi"/>
                      <w:b/>
                      <w:sz w:val="22"/>
                    </w:rPr>
                    <w:t>Phase</w:t>
                  </w:r>
                </w:p>
              </w:tc>
              <w:tc>
                <w:tcPr>
                  <w:tcW w:w="3828" w:type="dxa"/>
                </w:tcPr>
                <w:p w14:paraId="108D9F0D" w14:textId="77777777" w:rsidR="00284C50" w:rsidRPr="00284C50" w:rsidRDefault="00284C50" w:rsidP="00284C50">
                  <w:pPr>
                    <w:spacing w:beforeLines="60" w:before="144" w:afterLines="60" w:after="144"/>
                    <w:rPr>
                      <w:rFonts w:asciiTheme="minorHAnsi" w:hAnsiTheme="minorHAnsi" w:cstheme="minorHAnsi"/>
                      <w:b/>
                      <w:bCs/>
                      <w:sz w:val="22"/>
                    </w:rPr>
                  </w:pPr>
                  <w:r w:rsidRPr="00284C50">
                    <w:rPr>
                      <w:rFonts w:asciiTheme="minorHAnsi" w:hAnsiTheme="minorHAnsi" w:cstheme="minorHAnsi"/>
                      <w:b/>
                      <w:bCs/>
                      <w:sz w:val="22"/>
                    </w:rPr>
                    <w:t>Inhalt</w:t>
                  </w:r>
                </w:p>
              </w:tc>
              <w:tc>
                <w:tcPr>
                  <w:tcW w:w="3260" w:type="dxa"/>
                </w:tcPr>
                <w:p w14:paraId="241B6408" w14:textId="77777777" w:rsidR="00284C50" w:rsidRPr="00284C50" w:rsidRDefault="00284C50" w:rsidP="00284C50">
                  <w:pPr>
                    <w:spacing w:beforeLines="60" w:before="144" w:afterLines="60" w:after="144"/>
                    <w:rPr>
                      <w:rFonts w:asciiTheme="minorHAnsi" w:hAnsiTheme="minorHAnsi" w:cstheme="minorHAnsi"/>
                      <w:b/>
                      <w:sz w:val="22"/>
                    </w:rPr>
                  </w:pPr>
                  <w:r w:rsidRPr="00284C50">
                    <w:rPr>
                      <w:rFonts w:asciiTheme="minorHAnsi" w:hAnsiTheme="minorHAnsi" w:cstheme="minorHAnsi"/>
                      <w:b/>
                      <w:sz w:val="22"/>
                    </w:rPr>
                    <w:t>Kommentar</w:t>
                  </w:r>
                </w:p>
              </w:tc>
            </w:tr>
            <w:tr w:rsidR="00284C50" w:rsidRPr="00284C50" w14:paraId="5C17C4AC" w14:textId="77777777" w:rsidTr="00826C36">
              <w:tc>
                <w:tcPr>
                  <w:tcW w:w="1417" w:type="dxa"/>
                </w:tcPr>
                <w:p w14:paraId="2F174276" w14:textId="77777777" w:rsidR="00284C50" w:rsidRPr="00284C50" w:rsidRDefault="00284C50" w:rsidP="00284C50">
                  <w:pPr>
                    <w:spacing w:beforeLines="60" w:before="144" w:afterLines="60" w:after="144"/>
                    <w:rPr>
                      <w:rFonts w:asciiTheme="minorHAnsi" w:hAnsiTheme="minorHAnsi" w:cstheme="minorHAnsi"/>
                      <w:sz w:val="22"/>
                    </w:rPr>
                  </w:pPr>
                  <w:r w:rsidRPr="00284C50">
                    <w:rPr>
                      <w:rFonts w:asciiTheme="minorHAnsi" w:hAnsiTheme="minorHAnsi" w:cstheme="minorHAnsi"/>
                      <w:sz w:val="22"/>
                    </w:rPr>
                    <w:t>Einstieg</w:t>
                  </w:r>
                </w:p>
              </w:tc>
              <w:tc>
                <w:tcPr>
                  <w:tcW w:w="3828" w:type="dxa"/>
                </w:tcPr>
                <w:p w14:paraId="2A5D839B" w14:textId="77777777" w:rsidR="00284C50" w:rsidRPr="00284C50" w:rsidRDefault="00284C50" w:rsidP="00284C50">
                  <w:pPr>
                    <w:spacing w:beforeLines="60" w:before="144" w:afterLines="60" w:after="144"/>
                    <w:rPr>
                      <w:rFonts w:asciiTheme="minorHAnsi" w:hAnsiTheme="minorHAnsi" w:cstheme="minorHAnsi"/>
                      <w:sz w:val="22"/>
                    </w:rPr>
                  </w:pPr>
                  <w:r w:rsidRPr="00284C50">
                    <w:rPr>
                      <w:rFonts w:asciiTheme="minorHAnsi" w:hAnsiTheme="minorHAnsi" w:cstheme="minorHAnsi"/>
                      <w:bCs/>
                      <w:sz w:val="22"/>
                    </w:rPr>
                    <w:t>Die SuS bekommen die Aussage präsentiert, dass Wellenlänge und Geschwindigkeit antiproportional zueinander sein sollen, welche</w:t>
                  </w:r>
                  <w:r>
                    <w:rPr>
                      <w:rFonts w:asciiTheme="minorHAnsi" w:hAnsiTheme="minorHAnsi" w:cstheme="minorHAnsi"/>
                      <w:bCs/>
                      <w:sz w:val="22"/>
                    </w:rPr>
                    <w:t>s</w:t>
                  </w:r>
                  <w:r w:rsidRPr="00284C50">
                    <w:rPr>
                      <w:rFonts w:asciiTheme="minorHAnsi" w:hAnsiTheme="minorHAnsi" w:cstheme="minorHAnsi"/>
                      <w:bCs/>
                      <w:sz w:val="22"/>
                    </w:rPr>
                    <w:t xml:space="preserve"> zu Beginn des 20. Jahrhunderts den Kern der Hypothese von de Broglie darstellt.</w:t>
                  </w:r>
                </w:p>
              </w:tc>
              <w:tc>
                <w:tcPr>
                  <w:tcW w:w="3260" w:type="dxa"/>
                </w:tcPr>
                <w:p w14:paraId="608EA9DF" w14:textId="77777777" w:rsidR="00284C50" w:rsidRPr="00284C50" w:rsidRDefault="00284C50" w:rsidP="00284C50">
                  <w:pPr>
                    <w:spacing w:beforeLines="60" w:before="144" w:afterLines="60" w:after="144"/>
                    <w:rPr>
                      <w:rFonts w:asciiTheme="minorHAnsi" w:hAnsiTheme="minorHAnsi" w:cstheme="minorHAnsi"/>
                      <w:b/>
                      <w:sz w:val="22"/>
                    </w:rPr>
                  </w:pPr>
                </w:p>
              </w:tc>
            </w:tr>
            <w:tr w:rsidR="00284C50" w:rsidRPr="00284C50" w14:paraId="796D55B3" w14:textId="77777777" w:rsidTr="00826C36">
              <w:tc>
                <w:tcPr>
                  <w:tcW w:w="1417" w:type="dxa"/>
                </w:tcPr>
                <w:p w14:paraId="16E0F392" w14:textId="77777777" w:rsidR="00284C50" w:rsidRPr="00284C50" w:rsidRDefault="00284C50" w:rsidP="00284C50">
                  <w:pPr>
                    <w:spacing w:beforeLines="60" w:before="144" w:afterLines="60" w:after="144"/>
                    <w:rPr>
                      <w:rFonts w:asciiTheme="minorHAnsi" w:hAnsiTheme="minorHAnsi" w:cstheme="minorHAnsi"/>
                      <w:sz w:val="22"/>
                    </w:rPr>
                  </w:pPr>
                  <w:r w:rsidRPr="00284C50">
                    <w:rPr>
                      <w:rFonts w:asciiTheme="minorHAnsi" w:hAnsiTheme="minorHAnsi" w:cstheme="minorHAnsi"/>
                      <w:sz w:val="22"/>
                    </w:rPr>
                    <w:t>Erarbeitung</w:t>
                  </w:r>
                </w:p>
              </w:tc>
              <w:tc>
                <w:tcPr>
                  <w:tcW w:w="3828" w:type="dxa"/>
                </w:tcPr>
                <w:p w14:paraId="4EECEFE5" w14:textId="77777777" w:rsidR="00284C50" w:rsidRPr="00284C50" w:rsidRDefault="00284C50" w:rsidP="00284C50">
                  <w:pPr>
                    <w:spacing w:beforeLines="60" w:before="144" w:afterLines="60" w:after="144"/>
                    <w:rPr>
                      <w:rFonts w:asciiTheme="minorHAnsi" w:hAnsiTheme="minorHAnsi" w:cstheme="minorHAnsi"/>
                      <w:sz w:val="22"/>
                    </w:rPr>
                  </w:pPr>
                  <w:r w:rsidRPr="00284C50">
                    <w:rPr>
                      <w:rFonts w:asciiTheme="minorHAnsi" w:hAnsiTheme="minorHAnsi" w:cstheme="minorHAnsi"/>
                      <w:sz w:val="22"/>
                    </w:rPr>
                    <w:t xml:space="preserve">Mit dem Experiment zur Elektronenbeugung werden Messwerte für den Radius der Interferenzringe in Abhängigkeit der Beschleunigungsspannung gemessen. Auf dieser Grundlage kann die Bestätigung der vorgestellten Hypothese von de-Broglie erfolgen. </w:t>
                  </w:r>
                </w:p>
              </w:tc>
              <w:tc>
                <w:tcPr>
                  <w:tcW w:w="3260" w:type="dxa"/>
                </w:tcPr>
                <w:p w14:paraId="72BC0572" w14:textId="77777777" w:rsidR="00284C50" w:rsidRDefault="00284C50" w:rsidP="003C4C2E">
                  <w:pPr>
                    <w:numPr>
                      <w:ilvl w:val="0"/>
                      <w:numId w:val="1"/>
                    </w:numPr>
                    <w:spacing w:before="60" w:after="60"/>
                    <w:ind w:left="318" w:hanging="318"/>
                    <w:rPr>
                      <w:rFonts w:asciiTheme="minorHAnsi" w:hAnsiTheme="minorHAnsi" w:cstheme="minorHAnsi"/>
                      <w:sz w:val="22"/>
                    </w:rPr>
                  </w:pPr>
                  <w:r w:rsidRPr="00284C50">
                    <w:rPr>
                      <w:rFonts w:asciiTheme="minorHAnsi" w:hAnsiTheme="minorHAnsi" w:cstheme="minorHAnsi"/>
                      <w:sz w:val="22"/>
                    </w:rPr>
                    <w:t xml:space="preserve">ggf. Wiederholung der Gleichungen für </w:t>
                  </w:r>
                  <m:oMath>
                    <m:r>
                      <w:rPr>
                        <w:rFonts w:ascii="Cambria Math" w:hAnsi="Cambria Math" w:cstheme="minorHAnsi"/>
                        <w:sz w:val="22"/>
                      </w:rPr>
                      <m:t>λ</m:t>
                    </m:r>
                  </m:oMath>
                  <w:r w:rsidRPr="00284C50">
                    <w:rPr>
                      <w:rFonts w:asciiTheme="minorHAnsi" w:hAnsiTheme="minorHAnsi" w:cstheme="minorHAnsi"/>
                      <w:sz w:val="22"/>
                    </w:rPr>
                    <w:t xml:space="preserve"> und </w:t>
                  </w:r>
                  <m:oMath>
                    <m:r>
                      <w:rPr>
                        <w:rFonts w:ascii="Cambria Math" w:hAnsi="Cambria Math" w:cstheme="minorHAnsi"/>
                        <w:sz w:val="22"/>
                      </w:rPr>
                      <m:t>v</m:t>
                    </m:r>
                  </m:oMath>
                  <w:r w:rsidRPr="00284C50">
                    <w:rPr>
                      <w:rFonts w:asciiTheme="minorHAnsi" w:hAnsiTheme="minorHAnsi" w:cstheme="minorHAnsi"/>
                      <w:sz w:val="22"/>
                    </w:rPr>
                    <w:t xml:space="preserve"> nötig</w:t>
                  </w:r>
                </w:p>
                <w:p w14:paraId="0D64DDBB" w14:textId="4F5C23C6" w:rsidR="00292506" w:rsidRDefault="00292506" w:rsidP="003C4C2E">
                  <w:pPr>
                    <w:numPr>
                      <w:ilvl w:val="0"/>
                      <w:numId w:val="1"/>
                    </w:numPr>
                    <w:spacing w:before="60" w:after="60"/>
                    <w:ind w:left="318" w:hanging="318"/>
                    <w:rPr>
                      <w:rFonts w:asciiTheme="minorHAnsi" w:hAnsiTheme="minorHAnsi" w:cstheme="minorHAnsi"/>
                      <w:sz w:val="22"/>
                    </w:rPr>
                  </w:pPr>
                  <w:r>
                    <w:rPr>
                      <w:rFonts w:asciiTheme="minorHAnsi" w:hAnsiTheme="minorHAnsi" w:cstheme="minorHAnsi"/>
                      <w:sz w:val="22"/>
                    </w:rPr>
                    <w:t>die Messungen können direkt am Experiment vorgenommen werden oder die SuS erhalten vorbereitetes Material mit entsprechenden Schirmbildern</w:t>
                  </w:r>
                </w:p>
                <w:p w14:paraId="459085CC" w14:textId="76623E24" w:rsidR="001045D5" w:rsidRPr="00284C50" w:rsidRDefault="001045D5" w:rsidP="001045D5">
                  <w:pPr>
                    <w:spacing w:before="60" w:after="60"/>
                    <w:ind w:left="318"/>
                    <w:rPr>
                      <w:rFonts w:asciiTheme="minorHAnsi" w:hAnsiTheme="minorHAnsi" w:cstheme="minorHAnsi"/>
                      <w:sz w:val="22"/>
                    </w:rPr>
                  </w:pPr>
                  <w:r>
                    <w:rPr>
                      <w:rFonts w:asciiTheme="minorHAnsi" w:hAnsiTheme="minorHAnsi" w:cstheme="minorHAnsi"/>
                      <w:sz w:val="22"/>
                    </w:rPr>
                    <w:t>(vgl. Arbeitsblätter)</w:t>
                  </w:r>
                </w:p>
                <w:p w14:paraId="3229DDC7" w14:textId="77777777" w:rsidR="00284C50" w:rsidRPr="00284C50" w:rsidRDefault="00284C50" w:rsidP="003C4C2E">
                  <w:pPr>
                    <w:numPr>
                      <w:ilvl w:val="0"/>
                      <w:numId w:val="1"/>
                    </w:numPr>
                    <w:spacing w:before="60" w:after="60"/>
                    <w:ind w:left="318" w:hanging="318"/>
                    <w:rPr>
                      <w:rFonts w:asciiTheme="minorHAnsi" w:hAnsiTheme="minorHAnsi" w:cstheme="minorHAnsi"/>
                      <w:sz w:val="22"/>
                    </w:rPr>
                  </w:pPr>
                  <w:r w:rsidRPr="00284C50">
                    <w:rPr>
                      <w:rFonts w:asciiTheme="minorHAnsi" w:hAnsiTheme="minorHAnsi" w:cstheme="minorHAnsi"/>
                      <w:sz w:val="22"/>
                    </w:rPr>
                    <w:t>arbeitsteilige Berechnung kann zeitökonomisch sein</w:t>
                  </w:r>
                </w:p>
                <w:p w14:paraId="0B2DDC69" w14:textId="77777777" w:rsidR="00284C50" w:rsidRPr="00284C50" w:rsidRDefault="00284C50" w:rsidP="003C4C2E">
                  <w:pPr>
                    <w:numPr>
                      <w:ilvl w:val="0"/>
                      <w:numId w:val="1"/>
                    </w:numPr>
                    <w:spacing w:before="60" w:after="60"/>
                    <w:ind w:left="318" w:hanging="318"/>
                    <w:rPr>
                      <w:rFonts w:asciiTheme="minorHAnsi" w:hAnsiTheme="minorHAnsi" w:cstheme="minorHAnsi"/>
                      <w:sz w:val="22"/>
                    </w:rPr>
                  </w:pPr>
                  <w:r w:rsidRPr="00284C50">
                    <w:rPr>
                      <w:rFonts w:asciiTheme="minorHAnsi" w:hAnsiTheme="minorHAnsi" w:cstheme="minorHAnsi"/>
                      <w:sz w:val="22"/>
                    </w:rPr>
                    <w:t xml:space="preserve">Bestätigung der Antiproportionalität </w:t>
                  </w:r>
                  <w:r w:rsidR="00826C36">
                    <w:rPr>
                      <w:rFonts w:asciiTheme="minorHAnsi" w:hAnsiTheme="minorHAnsi" w:cstheme="minorHAnsi"/>
                      <w:sz w:val="22"/>
                    </w:rPr>
                    <w:t xml:space="preserve">kann mit verschiedenen Methoden </w:t>
                  </w:r>
                  <w:r w:rsidRPr="00284C50">
                    <w:rPr>
                      <w:rFonts w:asciiTheme="minorHAnsi" w:hAnsiTheme="minorHAnsi" w:cstheme="minorHAnsi"/>
                      <w:sz w:val="22"/>
                    </w:rPr>
                    <w:t>erfolgen</w:t>
                  </w:r>
                </w:p>
              </w:tc>
            </w:tr>
            <w:tr w:rsidR="004D33B2" w:rsidRPr="00284C50" w14:paraId="0A3C2A71" w14:textId="77777777" w:rsidTr="00826C36">
              <w:tc>
                <w:tcPr>
                  <w:tcW w:w="1417" w:type="dxa"/>
                </w:tcPr>
                <w:p w14:paraId="5A33BACA" w14:textId="40AE0790" w:rsidR="004D33B2" w:rsidRPr="00284C50" w:rsidRDefault="004D33B2" w:rsidP="00284C50">
                  <w:pPr>
                    <w:spacing w:beforeLines="60" w:before="144" w:afterLines="60" w:after="144"/>
                    <w:rPr>
                      <w:rFonts w:asciiTheme="minorHAnsi" w:hAnsiTheme="minorHAnsi" w:cstheme="minorHAnsi"/>
                      <w:sz w:val="22"/>
                    </w:rPr>
                  </w:pPr>
                  <w:r>
                    <w:rPr>
                      <w:rFonts w:asciiTheme="minorHAnsi" w:hAnsiTheme="minorHAnsi" w:cstheme="minorHAnsi"/>
                      <w:sz w:val="22"/>
                    </w:rPr>
                    <w:t>Sicherung</w:t>
                  </w:r>
                </w:p>
              </w:tc>
              <w:tc>
                <w:tcPr>
                  <w:tcW w:w="3828" w:type="dxa"/>
                </w:tcPr>
                <w:p w14:paraId="46D04107" w14:textId="1C8A4E7C" w:rsidR="00292506" w:rsidRDefault="00292506" w:rsidP="00284C50">
                  <w:pPr>
                    <w:spacing w:beforeLines="60" w:before="144" w:afterLines="60" w:after="144"/>
                    <w:rPr>
                      <w:rFonts w:asciiTheme="minorHAnsi" w:hAnsiTheme="minorHAnsi" w:cstheme="minorHAnsi"/>
                      <w:sz w:val="22"/>
                    </w:rPr>
                  </w:pPr>
                  <w:r>
                    <w:rPr>
                      <w:rFonts w:asciiTheme="minorHAnsi" w:hAnsiTheme="minorHAnsi" w:cstheme="minorHAnsi"/>
                      <w:sz w:val="22"/>
                    </w:rPr>
                    <w:t xml:space="preserve">SuS erläutern, mit welchem Verfahren sie die zu Beginn aufgestellte Hypothese geprüft haben </w:t>
                  </w:r>
                </w:p>
                <w:p w14:paraId="282282BC" w14:textId="0DF1A08D" w:rsidR="004D33B2" w:rsidRDefault="004D33B2" w:rsidP="00284C50">
                  <w:pPr>
                    <w:spacing w:beforeLines="60" w:before="144" w:afterLines="60" w:after="144"/>
                    <w:rPr>
                      <w:rFonts w:asciiTheme="minorHAnsi" w:hAnsiTheme="minorHAnsi" w:cstheme="minorHAnsi"/>
                      <w:sz w:val="22"/>
                    </w:rPr>
                  </w:pPr>
                  <w:r>
                    <w:rPr>
                      <w:rFonts w:asciiTheme="minorHAnsi" w:hAnsiTheme="minorHAnsi" w:cstheme="minorHAnsi"/>
                      <w:sz w:val="22"/>
                    </w:rPr>
                    <w:t>SuS vergl</w:t>
                  </w:r>
                  <w:r w:rsidR="00292506">
                    <w:rPr>
                      <w:rFonts w:asciiTheme="minorHAnsi" w:hAnsiTheme="minorHAnsi" w:cstheme="minorHAnsi"/>
                      <w:sz w:val="22"/>
                    </w:rPr>
                    <w:t>e</w:t>
                  </w:r>
                  <w:r>
                    <w:rPr>
                      <w:rFonts w:asciiTheme="minorHAnsi" w:hAnsiTheme="minorHAnsi" w:cstheme="minorHAnsi"/>
                      <w:sz w:val="22"/>
                    </w:rPr>
                    <w:t>ichen</w:t>
                  </w:r>
                  <w:r w:rsidR="00292506">
                    <w:rPr>
                      <w:rFonts w:asciiTheme="minorHAnsi" w:hAnsiTheme="minorHAnsi" w:cstheme="minorHAnsi"/>
                      <w:sz w:val="22"/>
                    </w:rPr>
                    <w:t xml:space="preserve"> die Ergebnisse bei der Bestimmung der Wellenlängen mit Hilfe der Interferenzringe und der ermittelten Geschwindigkeiten</w:t>
                  </w:r>
                </w:p>
                <w:p w14:paraId="7A477054" w14:textId="77777777" w:rsidR="001045D5" w:rsidRPr="00284C50" w:rsidRDefault="001045D5" w:rsidP="001045D5">
                  <w:pPr>
                    <w:spacing w:beforeLines="60" w:before="144" w:afterLines="60" w:after="144"/>
                    <w:rPr>
                      <w:rFonts w:asciiTheme="minorHAnsi" w:hAnsiTheme="minorHAnsi" w:cstheme="minorHAnsi"/>
                      <w:sz w:val="22"/>
                    </w:rPr>
                  </w:pPr>
                  <w:r w:rsidRPr="00284C50">
                    <w:rPr>
                      <w:rFonts w:asciiTheme="minorHAnsi" w:hAnsiTheme="minorHAnsi" w:cstheme="minorHAnsi"/>
                      <w:sz w:val="22"/>
                    </w:rPr>
                    <w:t xml:space="preserve">Durch das Experiment kann für die de-Broglie-Wellenlänge bestätigt werden: </w:t>
                  </w:r>
                  <m:oMath>
                    <m:sSub>
                      <m:sSubPr>
                        <m:ctrlPr>
                          <w:rPr>
                            <w:rFonts w:ascii="Cambria Math" w:hAnsi="Cambria Math" w:cstheme="minorHAnsi"/>
                            <w:i/>
                            <w:sz w:val="22"/>
                          </w:rPr>
                        </m:ctrlPr>
                      </m:sSubPr>
                      <m:e>
                        <m:r>
                          <w:rPr>
                            <w:rFonts w:ascii="Cambria Math" w:hAnsi="Cambria Math" w:cstheme="minorHAnsi"/>
                            <w:i/>
                            <w:sz w:val="22"/>
                          </w:rPr>
                          <w:sym w:font="Symbol" w:char="F06C"/>
                        </m:r>
                      </m:e>
                      <m:sub>
                        <m:r>
                          <m:rPr>
                            <m:sty m:val="p"/>
                          </m:rPr>
                          <w:rPr>
                            <w:rFonts w:ascii="Cambria Math" w:hAnsi="Cambria Math" w:cstheme="minorHAnsi"/>
                            <w:sz w:val="22"/>
                          </w:rPr>
                          <m:t>de-Broglie</m:t>
                        </m:r>
                      </m:sub>
                    </m:sSub>
                    <m:r>
                      <w:rPr>
                        <w:rFonts w:ascii="Cambria Math" w:hAnsi="Cambria Math" w:cstheme="minorHAnsi"/>
                        <w:sz w:val="22"/>
                      </w:rPr>
                      <m:t>~</m:t>
                    </m:r>
                    <m:f>
                      <m:fPr>
                        <m:ctrlPr>
                          <w:rPr>
                            <w:rFonts w:ascii="Cambria Math" w:hAnsi="Cambria Math" w:cstheme="minorHAnsi"/>
                            <w:i/>
                            <w:sz w:val="22"/>
                          </w:rPr>
                        </m:ctrlPr>
                      </m:fPr>
                      <m:num>
                        <m:r>
                          <w:rPr>
                            <w:rFonts w:ascii="Cambria Math" w:hAnsi="Cambria Math" w:cstheme="minorHAnsi"/>
                            <w:sz w:val="22"/>
                          </w:rPr>
                          <m:t>1</m:t>
                        </m:r>
                      </m:num>
                      <m:den>
                        <m:r>
                          <w:rPr>
                            <w:rFonts w:ascii="Cambria Math" w:hAnsi="Cambria Math" w:cstheme="minorHAnsi"/>
                            <w:sz w:val="22"/>
                          </w:rPr>
                          <m:t>v</m:t>
                        </m:r>
                      </m:den>
                    </m:f>
                  </m:oMath>
                  <w:r w:rsidRPr="00284C50">
                    <w:rPr>
                      <w:rFonts w:asciiTheme="minorHAnsi" w:hAnsiTheme="minorHAnsi" w:cstheme="minorHAnsi"/>
                      <w:sz w:val="22"/>
                    </w:rPr>
                    <w:t>.</w:t>
                  </w:r>
                </w:p>
                <w:p w14:paraId="0D91CED2" w14:textId="734CB06A" w:rsidR="00292506" w:rsidRPr="00284C50" w:rsidRDefault="00292506" w:rsidP="00284C50">
                  <w:pPr>
                    <w:spacing w:beforeLines="60" w:before="144" w:afterLines="60" w:after="144"/>
                    <w:rPr>
                      <w:rFonts w:asciiTheme="minorHAnsi" w:hAnsiTheme="minorHAnsi" w:cstheme="minorHAnsi"/>
                      <w:sz w:val="22"/>
                    </w:rPr>
                  </w:pPr>
                </w:p>
              </w:tc>
              <w:tc>
                <w:tcPr>
                  <w:tcW w:w="3260" w:type="dxa"/>
                </w:tcPr>
                <w:p w14:paraId="2DB8164C" w14:textId="09A8F3CE" w:rsidR="004D33B2" w:rsidRPr="00284C50" w:rsidRDefault="00292506" w:rsidP="003C4C2E">
                  <w:pPr>
                    <w:numPr>
                      <w:ilvl w:val="0"/>
                      <w:numId w:val="1"/>
                    </w:numPr>
                    <w:spacing w:before="60" w:after="60"/>
                    <w:ind w:left="318" w:hanging="318"/>
                    <w:rPr>
                      <w:rFonts w:asciiTheme="minorHAnsi" w:hAnsiTheme="minorHAnsi" w:cstheme="minorHAnsi"/>
                      <w:sz w:val="22"/>
                    </w:rPr>
                  </w:pPr>
                  <w:r>
                    <w:rPr>
                      <w:rFonts w:asciiTheme="minorHAnsi" w:hAnsiTheme="minorHAnsi" w:cstheme="minorHAnsi"/>
                      <w:sz w:val="22"/>
                    </w:rPr>
                    <w:t>für die erfolgreiche Weiterarbeit sollte sichergestellt sein, dass die SuS über aussagekräftige Ergebnisse verfügen.</w:t>
                  </w:r>
                </w:p>
              </w:tc>
            </w:tr>
          </w:tbl>
          <w:p w14:paraId="55A6531A" w14:textId="77777777" w:rsidR="009721D4" w:rsidRDefault="009721D4"/>
          <w:p w14:paraId="1E734549" w14:textId="77777777" w:rsidR="00284C50" w:rsidRPr="00284C50" w:rsidRDefault="00284C50" w:rsidP="0031142E">
            <w:pPr>
              <w:spacing w:beforeLines="60" w:before="144" w:afterLines="60" w:after="144"/>
              <w:rPr>
                <w:rFonts w:asciiTheme="minorHAnsi" w:hAnsiTheme="minorHAnsi" w:cstheme="minorHAnsi"/>
                <w:b/>
                <w:sz w:val="22"/>
              </w:rPr>
            </w:pPr>
          </w:p>
        </w:tc>
      </w:tr>
      <w:tr w:rsidR="00D464E4" w:rsidRPr="00C538C9" w14:paraId="170635A9" w14:textId="77777777" w:rsidTr="00D464E4">
        <w:trPr>
          <w:trHeight w:val="3685"/>
        </w:trPr>
        <w:tc>
          <w:tcPr>
            <w:tcW w:w="9081"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tbl>
            <w:tblPr>
              <w:tblStyle w:val="Tabellenraster"/>
              <w:tblW w:w="8505" w:type="dxa"/>
              <w:tblInd w:w="214" w:type="dxa"/>
              <w:tblLook w:val="04A0" w:firstRow="1" w:lastRow="0" w:firstColumn="1" w:lastColumn="0" w:noHBand="0" w:noVBand="1"/>
            </w:tblPr>
            <w:tblGrid>
              <w:gridCol w:w="1417"/>
              <w:gridCol w:w="3828"/>
              <w:gridCol w:w="3260"/>
            </w:tblGrid>
            <w:tr w:rsidR="009721D4" w:rsidRPr="00284C50" w14:paraId="49342C23" w14:textId="77777777" w:rsidTr="00F270F2">
              <w:tc>
                <w:tcPr>
                  <w:tcW w:w="1417" w:type="dxa"/>
                </w:tcPr>
                <w:bookmarkEnd w:id="0"/>
                <w:p w14:paraId="1D1C2074" w14:textId="77777777" w:rsidR="009721D4" w:rsidRPr="00284C50" w:rsidRDefault="009721D4" w:rsidP="009721D4">
                  <w:pPr>
                    <w:spacing w:beforeLines="60" w:before="144" w:afterLines="60" w:after="144"/>
                    <w:rPr>
                      <w:rFonts w:asciiTheme="minorHAnsi" w:hAnsiTheme="minorHAnsi" w:cstheme="minorHAnsi"/>
                      <w:sz w:val="22"/>
                    </w:rPr>
                  </w:pPr>
                  <w:r>
                    <w:rPr>
                      <w:rFonts w:asciiTheme="minorHAnsi" w:hAnsiTheme="minorHAnsi" w:cstheme="minorHAnsi"/>
                      <w:sz w:val="22"/>
                    </w:rPr>
                    <w:t>Vertiefung</w:t>
                  </w:r>
                </w:p>
              </w:tc>
              <w:tc>
                <w:tcPr>
                  <w:tcW w:w="3828" w:type="dxa"/>
                </w:tcPr>
                <w:p w14:paraId="5B15B787" w14:textId="77777777" w:rsidR="009721D4" w:rsidRDefault="009721D4" w:rsidP="009721D4">
                  <w:pPr>
                    <w:spacing w:beforeLines="60" w:before="144" w:afterLines="60" w:after="144"/>
                    <w:rPr>
                      <w:rFonts w:asciiTheme="minorHAnsi" w:hAnsiTheme="minorHAnsi" w:cstheme="minorHAnsi"/>
                      <w:sz w:val="22"/>
                    </w:rPr>
                  </w:pPr>
                  <w:r w:rsidRPr="00284C50">
                    <w:rPr>
                      <w:rFonts w:asciiTheme="minorHAnsi" w:hAnsiTheme="minorHAnsi" w:cstheme="minorHAnsi"/>
                      <w:sz w:val="22"/>
                    </w:rPr>
                    <w:t xml:space="preserve">Für die de-Broglie-Wellenlänge gilt weiterhin: </w:t>
                  </w:r>
                  <m:oMath>
                    <m:sSub>
                      <m:sSubPr>
                        <m:ctrlPr>
                          <w:rPr>
                            <w:rFonts w:ascii="Cambria Math" w:hAnsi="Cambria Math" w:cstheme="minorHAnsi"/>
                            <w:i/>
                            <w:sz w:val="22"/>
                          </w:rPr>
                        </m:ctrlPr>
                      </m:sSubPr>
                      <m:e>
                        <m:r>
                          <w:rPr>
                            <w:rFonts w:ascii="Cambria Math" w:hAnsi="Cambria Math" w:cstheme="minorHAnsi"/>
                            <w:i/>
                            <w:sz w:val="22"/>
                          </w:rPr>
                          <w:sym w:font="Symbol" w:char="F06C"/>
                        </m:r>
                      </m:e>
                      <m:sub>
                        <m:r>
                          <m:rPr>
                            <m:sty m:val="p"/>
                          </m:rPr>
                          <w:rPr>
                            <w:rFonts w:ascii="Cambria Math" w:hAnsi="Cambria Math" w:cstheme="minorHAnsi"/>
                            <w:sz w:val="22"/>
                          </w:rPr>
                          <m:t>de-Broglie</m:t>
                        </m:r>
                      </m:sub>
                    </m:sSub>
                    <m:r>
                      <w:rPr>
                        <w:rFonts w:ascii="Cambria Math" w:hAnsi="Cambria Math" w:cstheme="minorHAnsi"/>
                        <w:sz w:val="22"/>
                      </w:rPr>
                      <m:t>=</m:t>
                    </m:r>
                    <m:f>
                      <m:fPr>
                        <m:ctrlPr>
                          <w:rPr>
                            <w:rFonts w:ascii="Cambria Math" w:hAnsi="Cambria Math" w:cstheme="minorHAnsi"/>
                            <w:i/>
                            <w:sz w:val="22"/>
                          </w:rPr>
                        </m:ctrlPr>
                      </m:fPr>
                      <m:num>
                        <m:r>
                          <w:rPr>
                            <w:rFonts w:ascii="Cambria Math" w:hAnsi="Cambria Math" w:cstheme="minorHAnsi"/>
                            <w:sz w:val="22"/>
                          </w:rPr>
                          <m:t>h</m:t>
                        </m:r>
                      </m:num>
                      <m:den>
                        <m:r>
                          <w:rPr>
                            <w:rFonts w:ascii="Cambria Math" w:hAnsi="Cambria Math" w:cstheme="minorHAnsi"/>
                            <w:sz w:val="22"/>
                          </w:rPr>
                          <m:t>mv</m:t>
                        </m:r>
                      </m:den>
                    </m:f>
                  </m:oMath>
                </w:p>
                <w:p w14:paraId="6B2E8CC5" w14:textId="77777777" w:rsidR="009721D4" w:rsidRDefault="009721D4" w:rsidP="009721D4">
                  <w:pPr>
                    <w:spacing w:beforeLines="50" w:before="120" w:after="0"/>
                    <w:rPr>
                      <w:rFonts w:asciiTheme="minorHAnsi" w:hAnsiTheme="minorHAnsi" w:cstheme="minorHAnsi"/>
                      <w:sz w:val="22"/>
                    </w:rPr>
                  </w:pPr>
                  <w:r>
                    <w:rPr>
                      <w:rFonts w:asciiTheme="minorHAnsi" w:hAnsiTheme="minorHAnsi" w:cstheme="minorHAnsi"/>
                      <w:sz w:val="22"/>
                    </w:rPr>
                    <w:t>Bestätigung der Gültigkeit der de- Broglie-Gleichung auf Basis der Messergebnisse</w:t>
                  </w:r>
                </w:p>
                <w:p w14:paraId="73DB581A" w14:textId="77777777" w:rsidR="009721D4" w:rsidRPr="00284C50" w:rsidRDefault="009721D4" w:rsidP="009721D4">
                  <w:pPr>
                    <w:spacing w:afterLines="60" w:after="144"/>
                    <w:rPr>
                      <w:rFonts w:asciiTheme="minorHAnsi" w:hAnsiTheme="minorHAnsi" w:cstheme="minorHAnsi"/>
                      <w:sz w:val="22"/>
                    </w:rPr>
                  </w:pPr>
                </w:p>
              </w:tc>
              <w:tc>
                <w:tcPr>
                  <w:tcW w:w="3260" w:type="dxa"/>
                </w:tcPr>
                <w:p w14:paraId="40CFC512" w14:textId="77777777" w:rsidR="009721D4" w:rsidRDefault="009721D4" w:rsidP="009721D4">
                  <w:pPr>
                    <w:numPr>
                      <w:ilvl w:val="0"/>
                      <w:numId w:val="10"/>
                    </w:numPr>
                    <w:spacing w:before="60" w:after="60"/>
                    <w:ind w:left="318" w:hanging="318"/>
                    <w:rPr>
                      <w:rFonts w:asciiTheme="minorHAnsi" w:hAnsiTheme="minorHAnsi" w:cstheme="minorHAnsi"/>
                      <w:sz w:val="22"/>
                    </w:rPr>
                  </w:pPr>
                  <w:r>
                    <w:rPr>
                      <w:rFonts w:asciiTheme="minorHAnsi" w:hAnsiTheme="minorHAnsi" w:cstheme="minorHAnsi"/>
                      <w:sz w:val="22"/>
                    </w:rPr>
                    <w:t>Vergleich der berechneten de-Broglie-Wellenlänge für Elektronen und den mittels Interferenz ermittelten Werten für λ.</w:t>
                  </w:r>
                </w:p>
                <w:p w14:paraId="7DC82578" w14:textId="77777777" w:rsidR="009721D4" w:rsidRPr="00284C50" w:rsidRDefault="009721D4" w:rsidP="009721D4">
                  <w:pPr>
                    <w:numPr>
                      <w:ilvl w:val="0"/>
                      <w:numId w:val="10"/>
                    </w:numPr>
                    <w:spacing w:before="60" w:after="60"/>
                    <w:ind w:left="318" w:hanging="318"/>
                    <w:rPr>
                      <w:rFonts w:asciiTheme="minorHAnsi" w:hAnsiTheme="minorHAnsi" w:cstheme="minorHAnsi"/>
                      <w:sz w:val="22"/>
                    </w:rPr>
                  </w:pPr>
                  <w:r>
                    <w:rPr>
                      <w:rFonts w:asciiTheme="minorHAnsi" w:hAnsiTheme="minorHAnsi" w:cstheme="minorHAnsi"/>
                      <w:sz w:val="22"/>
                    </w:rPr>
                    <w:t xml:space="preserve"> </w:t>
                  </w:r>
                  <w:r w:rsidRPr="00284C50">
                    <w:rPr>
                      <w:rFonts w:asciiTheme="minorHAnsi" w:hAnsiTheme="minorHAnsi" w:cstheme="minorHAnsi"/>
                      <w:sz w:val="22"/>
                    </w:rPr>
                    <w:t>Vergleich der Konstanten aus dem Experiment und aus der de-Broglie-Gleichung kann erfolgen.</w:t>
                  </w:r>
                </w:p>
                <w:p w14:paraId="025255F2" w14:textId="77777777" w:rsidR="009721D4" w:rsidRPr="00284C50" w:rsidRDefault="009721D4" w:rsidP="009721D4">
                  <w:pPr>
                    <w:numPr>
                      <w:ilvl w:val="0"/>
                      <w:numId w:val="10"/>
                    </w:numPr>
                    <w:spacing w:before="60" w:after="60"/>
                    <w:ind w:left="318" w:hanging="318"/>
                    <w:rPr>
                      <w:rFonts w:asciiTheme="minorHAnsi" w:hAnsiTheme="minorHAnsi" w:cstheme="minorHAnsi"/>
                      <w:sz w:val="22"/>
                    </w:rPr>
                  </w:pPr>
                  <w:r>
                    <w:rPr>
                      <w:rFonts w:asciiTheme="minorHAnsi" w:hAnsiTheme="minorHAnsi" w:cstheme="minorHAnsi"/>
                      <w:sz w:val="22"/>
                    </w:rPr>
                    <w:t>g</w:t>
                  </w:r>
                  <w:r w:rsidRPr="00284C50">
                    <w:rPr>
                      <w:rFonts w:asciiTheme="minorHAnsi" w:hAnsiTheme="minorHAnsi" w:cstheme="minorHAnsi"/>
                      <w:sz w:val="22"/>
                    </w:rPr>
                    <w:t xml:space="preserve">gf. Einführung der Planck’sche </w:t>
                  </w:r>
                  <w:r w:rsidRPr="00826C36">
                    <w:rPr>
                      <w:rFonts w:asciiTheme="minorHAnsi" w:hAnsiTheme="minorHAnsi" w:cstheme="minorHAnsi"/>
                      <w:sz w:val="22"/>
                    </w:rPr>
                    <w:t xml:space="preserve">Konstante </w:t>
                  </w:r>
                  <m:oMath>
                    <m:r>
                      <w:rPr>
                        <w:rFonts w:ascii="Cambria Math" w:hAnsi="Cambria Math" w:cstheme="minorHAnsi"/>
                        <w:sz w:val="22"/>
                      </w:rPr>
                      <m:t>h</m:t>
                    </m:r>
                  </m:oMath>
                  <w:r w:rsidRPr="00284C50">
                    <w:rPr>
                      <w:rFonts w:asciiTheme="minorHAnsi" w:hAnsiTheme="minorHAnsi" w:cstheme="minorHAnsi"/>
                      <w:sz w:val="22"/>
                    </w:rPr>
                    <w:t xml:space="preserve"> </w:t>
                  </w:r>
                </w:p>
                <w:p w14:paraId="2BB7E761" w14:textId="77777777" w:rsidR="009721D4" w:rsidRPr="00284C50" w:rsidRDefault="009721D4" w:rsidP="009721D4">
                  <w:pPr>
                    <w:spacing w:beforeLines="60" w:before="144" w:afterLines="60" w:after="144"/>
                    <w:ind w:left="317" w:hanging="317"/>
                    <w:rPr>
                      <w:rFonts w:asciiTheme="minorHAnsi" w:hAnsiTheme="minorHAnsi" w:cstheme="minorHAnsi"/>
                      <w:b/>
                      <w:sz w:val="22"/>
                    </w:rPr>
                  </w:pPr>
                </w:p>
              </w:tc>
            </w:tr>
          </w:tbl>
          <w:p w14:paraId="743C377C" w14:textId="77777777" w:rsidR="00D464E4" w:rsidRPr="00C538C9" w:rsidRDefault="00D464E4" w:rsidP="00D464E4">
            <w:pPr>
              <w:spacing w:beforeLines="60" w:before="144" w:afterLines="60" w:after="144"/>
              <w:rPr>
                <w:rFonts w:asciiTheme="minorHAnsi" w:hAnsiTheme="minorHAnsi" w:cstheme="minorHAnsi"/>
                <w:b/>
                <w:sz w:val="22"/>
                <w:szCs w:val="22"/>
              </w:rPr>
            </w:pPr>
            <w:r w:rsidRPr="00C538C9">
              <w:rPr>
                <w:rFonts w:asciiTheme="minorHAnsi" w:hAnsiTheme="minorHAnsi" w:cstheme="minorHAnsi"/>
                <w:b/>
                <w:sz w:val="22"/>
                <w:szCs w:val="22"/>
              </w:rPr>
              <w:t>Hinweise und Tipps:</w:t>
            </w:r>
          </w:p>
          <w:p w14:paraId="4529847C" w14:textId="77777777" w:rsidR="00D464E4" w:rsidRPr="00C538C9" w:rsidRDefault="00D464E4" w:rsidP="00C538C9">
            <w:pPr>
              <w:numPr>
                <w:ilvl w:val="0"/>
                <w:numId w:val="9"/>
              </w:numPr>
              <w:spacing w:beforeLines="60" w:before="144" w:afterLines="60" w:after="144"/>
              <w:rPr>
                <w:rFonts w:asciiTheme="minorHAnsi" w:hAnsiTheme="minorHAnsi" w:cstheme="minorHAnsi"/>
                <w:b/>
                <w:sz w:val="22"/>
                <w:szCs w:val="22"/>
              </w:rPr>
            </w:pPr>
            <w:r w:rsidRPr="00C538C9">
              <w:rPr>
                <w:rFonts w:asciiTheme="minorHAnsi" w:hAnsiTheme="minorHAnsi" w:cstheme="minorHAnsi"/>
                <w:sz w:val="22"/>
                <w:szCs w:val="22"/>
              </w:rPr>
              <w:t>Infolge der optischen Analogieversuche mit dem Koppelmanndia lässt sich die Verwendung der bereits bekannten Gleichung zur Wellenlängenbestimmung mit dem Doppelspalt/Gitter plausibel begründen.</w:t>
            </w:r>
          </w:p>
          <w:p w14:paraId="64CC6D60" w14:textId="77777777" w:rsidR="00D464E4" w:rsidRPr="00C538C9" w:rsidRDefault="00D464E4" w:rsidP="00C538C9">
            <w:pPr>
              <w:numPr>
                <w:ilvl w:val="0"/>
                <w:numId w:val="9"/>
              </w:numPr>
              <w:spacing w:beforeLines="60" w:before="144" w:afterLines="60" w:after="144"/>
              <w:rPr>
                <w:rFonts w:asciiTheme="minorHAnsi" w:hAnsiTheme="minorHAnsi" w:cstheme="minorHAnsi"/>
                <w:b/>
                <w:sz w:val="22"/>
                <w:szCs w:val="22"/>
              </w:rPr>
            </w:pPr>
            <w:r w:rsidRPr="00C538C9">
              <w:rPr>
                <w:rFonts w:asciiTheme="minorHAnsi" w:hAnsiTheme="minorHAnsi" w:cstheme="minorHAnsi"/>
                <w:sz w:val="22"/>
                <w:szCs w:val="22"/>
              </w:rPr>
              <w:t>Für die Deutung der Ringstruktur bei der Elektronenbeugungsröhre reicht es aus, zunächst vereinfachend mit der Hypothese unregelmäßig verteilter Flächengitter zu arbeiten (optische Analogieexperimente, Koppelmanndia). Aufgrund der kleinen Beugungswinkel, führen darauf aufbauend durchgeführte Berechnungen zu belastbaren Ergebnissen (siehe Anhang in der Übersicht). Man sollte jedoch vermeiden, diese Hypothese als unbestreitbare Wahrheit zu verkaufen. Am Ende dieser Sequenz sollte den SuS des gA-Kurses deutlich gemacht werden, dass eine genauere Analyse dieser Hypothese unerlässlich ist, da atomare Strukturen dreidimensionale Gitter bilden. Die genauere Analyse solcher Gitter bleibt jedoch dem eA-Kurs vorbehalten und führt zu einer abweichenden Deutung der Interferenzerscheinung. Man vermeidet so, dass SuS eines eA- und gA-Kurses unterschiedliche Zugänge zu ein und demselben Experiment durchlaufen.</w:t>
            </w:r>
          </w:p>
          <w:p w14:paraId="118CDE09" w14:textId="77777777" w:rsidR="00C538C9" w:rsidRPr="00C538C9" w:rsidRDefault="00C538C9" w:rsidP="00C538C9">
            <w:pPr>
              <w:spacing w:before="120" w:after="0"/>
              <w:rPr>
                <w:rFonts w:asciiTheme="minorHAnsi" w:hAnsiTheme="minorHAnsi" w:cstheme="minorHAnsi"/>
                <w:b/>
                <w:sz w:val="22"/>
              </w:rPr>
            </w:pPr>
            <w:r w:rsidRPr="00C538C9">
              <w:rPr>
                <w:rFonts w:asciiTheme="minorHAnsi" w:hAnsiTheme="minorHAnsi" w:cstheme="minorHAnsi"/>
                <w:b/>
                <w:sz w:val="22"/>
              </w:rPr>
              <w:t>zum Demoexperiment:</w:t>
            </w:r>
          </w:p>
          <w:p w14:paraId="642EB0CC" w14:textId="77777777" w:rsidR="00C538C9" w:rsidRPr="00C538C9" w:rsidRDefault="00C538C9" w:rsidP="00C538C9">
            <w:pPr>
              <w:spacing w:before="120" w:after="0"/>
              <w:rPr>
                <w:rFonts w:asciiTheme="minorHAnsi" w:hAnsiTheme="minorHAnsi" w:cstheme="minorHAnsi"/>
                <w:sz w:val="22"/>
              </w:rPr>
            </w:pPr>
            <w:r w:rsidRPr="00C538C9">
              <w:rPr>
                <w:rFonts w:asciiTheme="minorHAnsi" w:hAnsiTheme="minorHAnsi" w:cstheme="minorHAnsi"/>
                <w:sz w:val="22"/>
              </w:rPr>
              <w:t xml:space="preserve">Das in Folgenden vorgeschlagene unterrichtliche Vorgehen basiert auf einer arbeitsteiligen Auswertung des Experiments auf der Basis von Fotografien. </w:t>
            </w:r>
          </w:p>
          <w:p w14:paraId="6E415E6B" w14:textId="77777777" w:rsidR="00C538C9" w:rsidRPr="00C538C9" w:rsidRDefault="00C538C9" w:rsidP="00C538C9">
            <w:pPr>
              <w:numPr>
                <w:ilvl w:val="0"/>
                <w:numId w:val="9"/>
              </w:numPr>
              <w:spacing w:beforeLines="60" w:before="144" w:afterLines="60" w:after="144"/>
              <w:rPr>
                <w:rFonts w:asciiTheme="minorHAnsi" w:hAnsiTheme="minorHAnsi" w:cstheme="minorHAnsi"/>
                <w:sz w:val="22"/>
                <w:szCs w:val="22"/>
              </w:rPr>
            </w:pPr>
            <w:r w:rsidRPr="00C538C9">
              <w:rPr>
                <w:rFonts w:asciiTheme="minorHAnsi" w:hAnsiTheme="minorHAnsi" w:cstheme="minorHAnsi"/>
                <w:sz w:val="22"/>
                <w:szCs w:val="22"/>
              </w:rPr>
              <w:t xml:space="preserve">Wegen der verwendeten Hochspannung (RISU beachten) sollte nur vom Lehrer in den Versuch eingegriffen werden. Die </w:t>
            </w:r>
            <w:r>
              <w:rPr>
                <w:rFonts w:asciiTheme="minorHAnsi" w:hAnsiTheme="minorHAnsi" w:cstheme="minorHAnsi"/>
                <w:sz w:val="22"/>
                <w:szCs w:val="22"/>
              </w:rPr>
              <w:t>SuS</w:t>
            </w:r>
            <w:r w:rsidRPr="00C538C9">
              <w:rPr>
                <w:rFonts w:asciiTheme="minorHAnsi" w:hAnsiTheme="minorHAnsi" w:cstheme="minorHAnsi"/>
                <w:sz w:val="22"/>
                <w:szCs w:val="22"/>
              </w:rPr>
              <w:t xml:space="preserve"> sind entsprechend einzuweisen.</w:t>
            </w:r>
          </w:p>
          <w:p w14:paraId="5CD026AE" w14:textId="77777777" w:rsidR="00C538C9" w:rsidRPr="00C538C9" w:rsidRDefault="00C538C9" w:rsidP="00C538C9">
            <w:pPr>
              <w:numPr>
                <w:ilvl w:val="0"/>
                <w:numId w:val="9"/>
              </w:numPr>
              <w:spacing w:beforeLines="60" w:before="144" w:afterLines="60" w:after="144"/>
              <w:rPr>
                <w:rFonts w:asciiTheme="minorHAnsi" w:hAnsiTheme="minorHAnsi" w:cstheme="minorHAnsi"/>
                <w:sz w:val="22"/>
                <w:szCs w:val="22"/>
              </w:rPr>
            </w:pPr>
            <w:r w:rsidRPr="00C538C9">
              <w:rPr>
                <w:rFonts w:asciiTheme="minorHAnsi" w:hAnsiTheme="minorHAnsi" w:cstheme="minorHAnsi"/>
                <w:sz w:val="22"/>
                <w:szCs w:val="22"/>
              </w:rPr>
              <w:t>Der Raum sollte gut zu verdunkeln sein. Notbeleuchtungen stören in der Regel nicht, wenn das Experiment nicht in ihrer Nähe aufgebaut wird.</w:t>
            </w:r>
          </w:p>
          <w:p w14:paraId="3868CC22" w14:textId="0EAE410F" w:rsidR="00C538C9" w:rsidRDefault="00C538C9" w:rsidP="00C538C9">
            <w:pPr>
              <w:numPr>
                <w:ilvl w:val="0"/>
                <w:numId w:val="9"/>
              </w:numPr>
              <w:spacing w:beforeLines="60" w:before="144" w:afterLines="60" w:after="144"/>
              <w:rPr>
                <w:rFonts w:asciiTheme="minorHAnsi" w:hAnsiTheme="minorHAnsi" w:cstheme="minorHAnsi"/>
                <w:sz w:val="22"/>
                <w:szCs w:val="22"/>
              </w:rPr>
            </w:pPr>
            <w:r w:rsidRPr="00C538C9">
              <w:rPr>
                <w:rFonts w:asciiTheme="minorHAnsi" w:hAnsiTheme="minorHAnsi" w:cstheme="minorHAnsi"/>
                <w:sz w:val="22"/>
                <w:szCs w:val="22"/>
              </w:rPr>
              <w:t>Das Zentrum der Beugungserscheinung sollte abgeklebt werden</w:t>
            </w:r>
            <w:r w:rsidR="00DD7B9E">
              <w:rPr>
                <w:rFonts w:asciiTheme="minorHAnsi" w:hAnsiTheme="minorHAnsi" w:cstheme="minorHAnsi"/>
                <w:sz w:val="22"/>
                <w:szCs w:val="22"/>
              </w:rPr>
              <w:t xml:space="preserve">, wenn es zu hell ist und blendet. </w:t>
            </w:r>
          </w:p>
          <w:p w14:paraId="5507755F" w14:textId="04EA6BBE" w:rsidR="00DD7B9E" w:rsidRPr="00C538C9" w:rsidRDefault="00DD7B9E" w:rsidP="00C538C9">
            <w:pPr>
              <w:numPr>
                <w:ilvl w:val="0"/>
                <w:numId w:val="9"/>
              </w:numPr>
              <w:spacing w:beforeLines="60" w:before="144" w:afterLines="60" w:after="144"/>
              <w:rPr>
                <w:rFonts w:asciiTheme="minorHAnsi" w:hAnsiTheme="minorHAnsi" w:cstheme="minorHAnsi"/>
                <w:sz w:val="22"/>
                <w:szCs w:val="22"/>
              </w:rPr>
            </w:pPr>
            <w:r>
              <w:rPr>
                <w:rFonts w:asciiTheme="minorHAnsi" w:hAnsiTheme="minorHAnsi" w:cstheme="minorHAnsi"/>
                <w:sz w:val="22"/>
                <w:szCs w:val="22"/>
              </w:rPr>
              <w:t xml:space="preserve">Durch Variation der </w:t>
            </w:r>
            <w:proofErr w:type="spellStart"/>
            <w:r>
              <w:rPr>
                <w:rFonts w:asciiTheme="minorHAnsi" w:hAnsiTheme="minorHAnsi" w:cstheme="minorHAnsi"/>
                <w:sz w:val="22"/>
                <w:szCs w:val="22"/>
              </w:rPr>
              <w:t>Wehneltspannung</w:t>
            </w:r>
            <w:proofErr w:type="spellEnd"/>
            <w:r>
              <w:rPr>
                <w:rFonts w:asciiTheme="minorHAnsi" w:hAnsiTheme="minorHAnsi" w:cstheme="minorHAnsi"/>
                <w:sz w:val="22"/>
                <w:szCs w:val="22"/>
              </w:rPr>
              <w:t xml:space="preserve"> und anderer Spannungen, die auf die Strahloptik wirken, kann die Bildqualität deutlich verbessert werden.</w:t>
            </w:r>
          </w:p>
          <w:p w14:paraId="276C15E9" w14:textId="77777777" w:rsidR="00C538C9" w:rsidRPr="00C538C9" w:rsidRDefault="00C538C9" w:rsidP="00C538C9">
            <w:pPr>
              <w:numPr>
                <w:ilvl w:val="0"/>
                <w:numId w:val="9"/>
              </w:numPr>
              <w:spacing w:beforeLines="60" w:before="144" w:afterLines="60" w:after="144"/>
              <w:rPr>
                <w:rFonts w:asciiTheme="minorHAnsi" w:hAnsiTheme="minorHAnsi" w:cstheme="minorHAnsi"/>
                <w:sz w:val="22"/>
                <w:szCs w:val="22"/>
              </w:rPr>
            </w:pPr>
            <w:r w:rsidRPr="00C538C9">
              <w:rPr>
                <w:rFonts w:asciiTheme="minorHAnsi" w:hAnsiTheme="minorHAnsi" w:cstheme="minorHAnsi"/>
                <w:sz w:val="22"/>
                <w:szCs w:val="22"/>
              </w:rPr>
              <w:t>Zur Messung ist es aus Gründen der Sicherheit sinnvoll, dass die Beschleunigungsspannung vom Unterrichtenden eingestellt wird.</w:t>
            </w:r>
          </w:p>
          <w:p w14:paraId="78915226" w14:textId="77777777" w:rsidR="00C538C9" w:rsidRPr="00C538C9" w:rsidRDefault="00C538C9" w:rsidP="00C538C9">
            <w:pPr>
              <w:numPr>
                <w:ilvl w:val="0"/>
                <w:numId w:val="9"/>
              </w:numPr>
              <w:spacing w:beforeLines="60" w:before="144" w:afterLines="60" w:after="144"/>
              <w:rPr>
                <w:rFonts w:asciiTheme="minorHAnsi" w:hAnsiTheme="minorHAnsi" w:cstheme="minorHAnsi"/>
                <w:sz w:val="22"/>
                <w:szCs w:val="22"/>
              </w:rPr>
            </w:pPr>
            <w:r w:rsidRPr="00C538C9">
              <w:rPr>
                <w:rFonts w:asciiTheme="minorHAnsi" w:hAnsiTheme="minorHAnsi" w:cstheme="minorHAnsi"/>
                <w:sz w:val="22"/>
                <w:szCs w:val="22"/>
              </w:rPr>
              <w:t>Auf der Beugungsröhre sollte eine gut sichtbare, durchsichtige Skala angebracht sein.</w:t>
            </w:r>
          </w:p>
          <w:p w14:paraId="7A097915" w14:textId="77777777" w:rsidR="00C538C9" w:rsidRPr="00C538C9" w:rsidRDefault="00C538C9" w:rsidP="00C538C9">
            <w:pPr>
              <w:numPr>
                <w:ilvl w:val="0"/>
                <w:numId w:val="9"/>
              </w:numPr>
              <w:spacing w:beforeLines="60" w:before="144" w:afterLines="60" w:after="144"/>
              <w:rPr>
                <w:rFonts w:asciiTheme="minorHAnsi" w:hAnsiTheme="minorHAnsi" w:cstheme="minorHAnsi"/>
                <w:sz w:val="22"/>
                <w:szCs w:val="22"/>
              </w:rPr>
            </w:pPr>
            <w:r w:rsidRPr="00C538C9">
              <w:rPr>
                <w:rFonts w:asciiTheme="minorHAnsi" w:hAnsiTheme="minorHAnsi" w:cstheme="minorHAnsi"/>
                <w:sz w:val="22"/>
                <w:szCs w:val="22"/>
              </w:rPr>
              <w:t>Die Beschleunigungsspannung darf nicht über 5 kV (RISU) erhöht werden.</w:t>
            </w:r>
          </w:p>
          <w:p w14:paraId="58770F71" w14:textId="77777777" w:rsidR="00C538C9" w:rsidRDefault="00C538C9" w:rsidP="00C538C9">
            <w:pPr>
              <w:numPr>
                <w:ilvl w:val="0"/>
                <w:numId w:val="9"/>
              </w:numPr>
              <w:spacing w:beforeLines="60" w:before="144" w:afterLines="60" w:after="144"/>
              <w:rPr>
                <w:rFonts w:asciiTheme="minorHAnsi" w:hAnsiTheme="minorHAnsi" w:cstheme="minorHAnsi"/>
                <w:b/>
                <w:sz w:val="22"/>
                <w:szCs w:val="22"/>
              </w:rPr>
            </w:pPr>
            <w:r w:rsidRPr="00C538C9">
              <w:rPr>
                <w:rFonts w:asciiTheme="minorHAnsi" w:hAnsiTheme="minorHAnsi" w:cstheme="minorHAnsi"/>
                <w:sz w:val="22"/>
                <w:szCs w:val="22"/>
              </w:rPr>
              <w:t>Die Messung des Ringradius ist je nach Qualität der Röhre mit einer erheblichen Ungenauigkeit behaftet. gA-Schüler sollten deshalb konkrete Hinweise</w:t>
            </w:r>
            <w:r>
              <w:rPr>
                <w:rFonts w:asciiTheme="minorHAnsi" w:hAnsiTheme="minorHAnsi" w:cstheme="minorHAnsi"/>
                <w:sz w:val="22"/>
                <w:szCs w:val="22"/>
              </w:rPr>
              <w:t xml:space="preserve"> zur Messwertaufnahme erhalten, </w:t>
            </w:r>
            <w:r w:rsidRPr="00C538C9">
              <w:rPr>
                <w:rFonts w:asciiTheme="minorHAnsi" w:hAnsiTheme="minorHAnsi" w:cstheme="minorHAnsi"/>
                <w:sz w:val="22"/>
                <w:szCs w:val="22"/>
              </w:rPr>
              <w:t>z.B. Bereiche größter Helligkeit auf beiden Seiten des abgedunkelten Zentrums zu wählen (Durchmesser bestimmen).</w:t>
            </w:r>
          </w:p>
          <w:p w14:paraId="6A9842C8" w14:textId="77777777" w:rsidR="00C538C9" w:rsidRDefault="00C538C9" w:rsidP="00C538C9">
            <w:pPr>
              <w:numPr>
                <w:ilvl w:val="0"/>
                <w:numId w:val="9"/>
              </w:numPr>
              <w:spacing w:after="0"/>
              <w:ind w:hanging="357"/>
              <w:rPr>
                <w:rFonts w:asciiTheme="minorHAnsi" w:hAnsiTheme="minorHAnsi" w:cstheme="minorHAnsi"/>
                <w:b/>
                <w:sz w:val="22"/>
                <w:szCs w:val="22"/>
              </w:rPr>
            </w:pPr>
            <w:r w:rsidRPr="00C538C9">
              <w:rPr>
                <w:rFonts w:asciiTheme="minorHAnsi" w:hAnsiTheme="minorHAnsi" w:cstheme="minorHAnsi"/>
                <w:sz w:val="22"/>
              </w:rPr>
              <w:t xml:space="preserve">Zwei mögliche </w:t>
            </w:r>
            <w:r w:rsidR="003C4C2E">
              <w:rPr>
                <w:rFonts w:asciiTheme="minorHAnsi" w:hAnsiTheme="minorHAnsi" w:cstheme="minorHAnsi"/>
                <w:sz w:val="22"/>
              </w:rPr>
              <w:t>Hilfen für die Arbeitsphase</w:t>
            </w:r>
          </w:p>
          <w:p w14:paraId="6E46DF99" w14:textId="77777777" w:rsidR="00C538C9" w:rsidRPr="00C538C9" w:rsidRDefault="00C538C9" w:rsidP="00C538C9">
            <w:pPr>
              <w:pStyle w:val="Listenabsatz"/>
              <w:numPr>
                <w:ilvl w:val="0"/>
                <w:numId w:val="12"/>
              </w:numPr>
              <w:spacing w:after="0"/>
              <w:ind w:hanging="357"/>
              <w:rPr>
                <w:rFonts w:asciiTheme="minorHAnsi" w:hAnsiTheme="minorHAnsi" w:cstheme="minorHAnsi"/>
                <w:b/>
                <w:sz w:val="22"/>
                <w:szCs w:val="22"/>
              </w:rPr>
            </w:pPr>
            <w:r w:rsidRPr="00C538C9">
              <w:rPr>
                <w:rFonts w:asciiTheme="minorHAnsi" w:hAnsiTheme="minorHAnsi" w:cstheme="minorHAnsi"/>
                <w:sz w:val="22"/>
              </w:rPr>
              <w:t>Gitterformel zur Berechnung der Wellenlänge.</w:t>
            </w:r>
          </w:p>
          <w:p w14:paraId="2FFCF4D5" w14:textId="77777777" w:rsidR="00C538C9" w:rsidRPr="00C538C9" w:rsidRDefault="00C538C9" w:rsidP="00C538C9">
            <w:pPr>
              <w:pStyle w:val="Listenabsatz"/>
              <w:numPr>
                <w:ilvl w:val="0"/>
                <w:numId w:val="12"/>
              </w:numPr>
              <w:spacing w:after="0"/>
              <w:ind w:hanging="357"/>
              <w:rPr>
                <w:rFonts w:asciiTheme="minorHAnsi" w:hAnsiTheme="minorHAnsi" w:cstheme="minorHAnsi"/>
                <w:b/>
                <w:sz w:val="22"/>
                <w:szCs w:val="22"/>
              </w:rPr>
            </w:pPr>
            <w:r w:rsidRPr="00C538C9">
              <w:rPr>
                <w:rFonts w:asciiTheme="minorHAnsi" w:hAnsiTheme="minorHAnsi" w:cstheme="minorHAnsi"/>
                <w:sz w:val="22"/>
              </w:rPr>
              <w:t>Formel zur Berechnung der Elektronengeschwindigkeit.</w:t>
            </w:r>
          </w:p>
          <w:p w14:paraId="164959C9" w14:textId="77777777" w:rsidR="00C538C9" w:rsidRPr="00C538C9" w:rsidRDefault="00C538C9" w:rsidP="00C538C9">
            <w:pPr>
              <w:spacing w:after="0"/>
              <w:rPr>
                <w:rFonts w:asciiTheme="minorHAnsi" w:hAnsiTheme="minorHAnsi" w:cstheme="minorHAnsi"/>
                <w:b/>
                <w:sz w:val="22"/>
                <w:szCs w:val="22"/>
              </w:rPr>
            </w:pPr>
          </w:p>
        </w:tc>
      </w:tr>
    </w:tbl>
    <w:p w14:paraId="6B4AC728" w14:textId="77777777" w:rsidR="00B0698E" w:rsidRDefault="00B0698E" w:rsidP="00697334">
      <w:pPr>
        <w:rPr>
          <w:rFonts w:ascii="Arial" w:hAnsi="Arial" w:cs="Arial"/>
        </w:rPr>
      </w:pPr>
    </w:p>
    <w:sectPr w:rsidR="00B0698E" w:rsidSect="00B0698E">
      <w:pgSz w:w="11906" w:h="16838"/>
      <w:pgMar w:top="709"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F3E5" w14:textId="77777777" w:rsidR="00224648" w:rsidRDefault="00224648" w:rsidP="00914C32">
      <w:pPr>
        <w:spacing w:after="0" w:line="240" w:lineRule="auto"/>
      </w:pPr>
      <w:r>
        <w:separator/>
      </w:r>
    </w:p>
  </w:endnote>
  <w:endnote w:type="continuationSeparator" w:id="0">
    <w:p w14:paraId="0D5BE6C4" w14:textId="77777777" w:rsidR="00224648" w:rsidRDefault="00224648" w:rsidP="0091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7C51" w14:textId="77777777" w:rsidR="00224648" w:rsidRDefault="00224648" w:rsidP="00914C32">
      <w:pPr>
        <w:spacing w:after="0" w:line="240" w:lineRule="auto"/>
      </w:pPr>
      <w:r>
        <w:separator/>
      </w:r>
    </w:p>
  </w:footnote>
  <w:footnote w:type="continuationSeparator" w:id="0">
    <w:p w14:paraId="0E329E96" w14:textId="77777777" w:rsidR="00224648" w:rsidRDefault="00224648" w:rsidP="00914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22"/>
    <w:multiLevelType w:val="multilevel"/>
    <w:tmpl w:val="C6CAC55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10251A44"/>
    <w:multiLevelType w:val="multilevel"/>
    <w:tmpl w:val="B71E71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3C05C8"/>
    <w:multiLevelType w:val="hybridMultilevel"/>
    <w:tmpl w:val="C5E2F1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1DAD1A08"/>
    <w:multiLevelType w:val="multilevel"/>
    <w:tmpl w:val="4A3AE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B5A6F"/>
    <w:multiLevelType w:val="hybridMultilevel"/>
    <w:tmpl w:val="5EB494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D85516"/>
    <w:multiLevelType w:val="multilevel"/>
    <w:tmpl w:val="F6BC2CE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C876269"/>
    <w:multiLevelType w:val="hybridMultilevel"/>
    <w:tmpl w:val="48683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BE4EB1"/>
    <w:multiLevelType w:val="hybridMultilevel"/>
    <w:tmpl w:val="3C54B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30407F"/>
    <w:multiLevelType w:val="multilevel"/>
    <w:tmpl w:val="1788FD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2B75D6"/>
    <w:multiLevelType w:val="hybridMultilevel"/>
    <w:tmpl w:val="2884B9CE"/>
    <w:lvl w:ilvl="0" w:tplc="6296ADAC">
      <w:numFmt w:val="bullet"/>
      <w:lvlText w:val="-"/>
      <w:lvlJc w:val="left"/>
      <w:pPr>
        <w:ind w:left="1770" w:hanging="360"/>
      </w:pPr>
      <w:rPr>
        <w:rFonts w:ascii="Calibri" w:eastAsia="Times New Roman" w:hAnsi="Calibri" w:cs="Calibri" w:hint="default"/>
        <w:b w:val="0"/>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0" w15:restartNumberingAfterBreak="0">
    <w:nsid w:val="79BE51E2"/>
    <w:multiLevelType w:val="multilevel"/>
    <w:tmpl w:val="415CF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2773780">
    <w:abstractNumId w:val="10"/>
  </w:num>
  <w:num w:numId="2" w16cid:durableId="442306371">
    <w:abstractNumId w:val="0"/>
  </w:num>
  <w:num w:numId="3" w16cid:durableId="2142846349">
    <w:abstractNumId w:val="1"/>
  </w:num>
  <w:num w:numId="4" w16cid:durableId="1997764225">
    <w:abstractNumId w:val="5"/>
  </w:num>
  <w:num w:numId="5" w16cid:durableId="797913985">
    <w:abstractNumId w:val="8"/>
  </w:num>
  <w:num w:numId="6" w16cid:durableId="1162507663">
    <w:abstractNumId w:val="3"/>
  </w:num>
  <w:num w:numId="7" w16cid:durableId="51966328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767687">
    <w:abstractNumId w:val="2"/>
  </w:num>
  <w:num w:numId="9" w16cid:durableId="1977450008">
    <w:abstractNumId w:val="7"/>
  </w:num>
  <w:num w:numId="10" w16cid:durableId="732855065">
    <w:abstractNumId w:val="6"/>
  </w:num>
  <w:num w:numId="11" w16cid:durableId="1372534660">
    <w:abstractNumId w:val="4"/>
  </w:num>
  <w:num w:numId="12" w16cid:durableId="1555433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2F"/>
    <w:rsid w:val="00001A80"/>
    <w:rsid w:val="000B068F"/>
    <w:rsid w:val="000D437C"/>
    <w:rsid w:val="001045D5"/>
    <w:rsid w:val="001118D1"/>
    <w:rsid w:val="001B097D"/>
    <w:rsid w:val="001F322E"/>
    <w:rsid w:val="00224648"/>
    <w:rsid w:val="002525BB"/>
    <w:rsid w:val="00262366"/>
    <w:rsid w:val="00284C50"/>
    <w:rsid w:val="00292506"/>
    <w:rsid w:val="002A33D6"/>
    <w:rsid w:val="002D1C46"/>
    <w:rsid w:val="0031142E"/>
    <w:rsid w:val="00335867"/>
    <w:rsid w:val="00381DD5"/>
    <w:rsid w:val="003A4F9C"/>
    <w:rsid w:val="003C4C2E"/>
    <w:rsid w:val="00407BBF"/>
    <w:rsid w:val="004347ED"/>
    <w:rsid w:val="004D33B2"/>
    <w:rsid w:val="004D6F63"/>
    <w:rsid w:val="004E7F52"/>
    <w:rsid w:val="00556460"/>
    <w:rsid w:val="00571B4F"/>
    <w:rsid w:val="00585D11"/>
    <w:rsid w:val="00586B82"/>
    <w:rsid w:val="005A1F72"/>
    <w:rsid w:val="005C6339"/>
    <w:rsid w:val="005D30F3"/>
    <w:rsid w:val="005E287E"/>
    <w:rsid w:val="00697334"/>
    <w:rsid w:val="006A12A7"/>
    <w:rsid w:val="00781B2F"/>
    <w:rsid w:val="007D125D"/>
    <w:rsid w:val="00826C36"/>
    <w:rsid w:val="008621CA"/>
    <w:rsid w:val="008809C7"/>
    <w:rsid w:val="008914CC"/>
    <w:rsid w:val="008B2975"/>
    <w:rsid w:val="008B5541"/>
    <w:rsid w:val="008E0587"/>
    <w:rsid w:val="00914C32"/>
    <w:rsid w:val="009424FA"/>
    <w:rsid w:val="009721D4"/>
    <w:rsid w:val="00980286"/>
    <w:rsid w:val="009F0B6F"/>
    <w:rsid w:val="00A47249"/>
    <w:rsid w:val="00A750EE"/>
    <w:rsid w:val="00A81992"/>
    <w:rsid w:val="00AA2231"/>
    <w:rsid w:val="00AA5270"/>
    <w:rsid w:val="00B0698E"/>
    <w:rsid w:val="00B62447"/>
    <w:rsid w:val="00BF34C4"/>
    <w:rsid w:val="00C538C9"/>
    <w:rsid w:val="00C631D0"/>
    <w:rsid w:val="00C7059E"/>
    <w:rsid w:val="00C72440"/>
    <w:rsid w:val="00CB732F"/>
    <w:rsid w:val="00CD0248"/>
    <w:rsid w:val="00CF7470"/>
    <w:rsid w:val="00D142FB"/>
    <w:rsid w:val="00D464E4"/>
    <w:rsid w:val="00DD7B9E"/>
    <w:rsid w:val="00DF56A1"/>
    <w:rsid w:val="00E10301"/>
    <w:rsid w:val="00EA2CE1"/>
    <w:rsid w:val="00EA6790"/>
    <w:rsid w:val="00EB67B9"/>
    <w:rsid w:val="00EE72C9"/>
    <w:rsid w:val="00EF71ED"/>
    <w:rsid w:val="00F270F2"/>
    <w:rsid w:val="00F6343F"/>
    <w:rsid w:val="00F64905"/>
    <w:rsid w:val="00F727F3"/>
    <w:rsid w:val="00F952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9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1B2F"/>
    <w:pPr>
      <w:suppressAutoHyphens/>
      <w:spacing w:after="200" w:line="276" w:lineRule="auto"/>
    </w:pPr>
    <w:rPr>
      <w:rFonts w:ascii="Times New Roman" w:hAnsi="Times New Roman"/>
      <w:color w:val="00000A"/>
      <w:sz w:val="24"/>
      <w:szCs w:val="24"/>
    </w:rPr>
  </w:style>
  <w:style w:type="paragraph" w:styleId="berschrift1">
    <w:name w:val="heading 1"/>
    <w:basedOn w:val="Standard"/>
    <w:rsid w:val="00781B2F"/>
    <w:pPr>
      <w:keepNext/>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rsid w:val="00781B2F"/>
    <w:rPr>
      <w:sz w:val="24"/>
      <w:szCs w:val="24"/>
    </w:rPr>
  </w:style>
  <w:style w:type="character" w:customStyle="1" w:styleId="FuzeileZchn">
    <w:name w:val="Fußzeile Zchn"/>
    <w:uiPriority w:val="99"/>
    <w:rsid w:val="00781B2F"/>
    <w:rPr>
      <w:sz w:val="24"/>
      <w:szCs w:val="24"/>
    </w:rPr>
  </w:style>
  <w:style w:type="character" w:customStyle="1" w:styleId="Internetlink">
    <w:name w:val="Internetlink"/>
    <w:rsid w:val="00781B2F"/>
    <w:rPr>
      <w:color w:val="0000FF"/>
      <w:u w:val="single"/>
    </w:rPr>
  </w:style>
  <w:style w:type="character" w:styleId="BesuchterLink">
    <w:name w:val="FollowedHyperlink"/>
    <w:rsid w:val="00781B2F"/>
    <w:rPr>
      <w:color w:val="800080"/>
      <w:u w:val="single"/>
    </w:rPr>
  </w:style>
  <w:style w:type="character" w:customStyle="1" w:styleId="orderno">
    <w:name w:val="order_no"/>
    <w:rsid w:val="00781B2F"/>
  </w:style>
  <w:style w:type="character" w:styleId="Platzhaltertext">
    <w:name w:val="Placeholder Text"/>
    <w:rsid w:val="00781B2F"/>
    <w:rPr>
      <w:color w:val="808080"/>
    </w:rPr>
  </w:style>
  <w:style w:type="character" w:customStyle="1" w:styleId="SprechblasentextZchn">
    <w:name w:val="Sprechblasentext Zchn"/>
    <w:rsid w:val="00781B2F"/>
    <w:rPr>
      <w:rFonts w:ascii="Tahoma" w:hAnsi="Tahoma" w:cs="Tahoma"/>
      <w:sz w:val="16"/>
      <w:szCs w:val="16"/>
    </w:rPr>
  </w:style>
  <w:style w:type="character" w:customStyle="1" w:styleId="ListLabel1">
    <w:name w:val="ListLabel 1"/>
    <w:rsid w:val="00781B2F"/>
    <w:rPr>
      <w:b/>
    </w:rPr>
  </w:style>
  <w:style w:type="character" w:customStyle="1" w:styleId="ListLabel2">
    <w:name w:val="ListLabel 2"/>
    <w:rsid w:val="00781B2F"/>
    <w:rPr>
      <w:rFonts w:cs="Courier New"/>
    </w:rPr>
  </w:style>
  <w:style w:type="character" w:customStyle="1" w:styleId="ListLabel3">
    <w:name w:val="ListLabel 3"/>
    <w:rsid w:val="00781B2F"/>
    <w:rPr>
      <w:rFonts w:eastAsia="Times New Roman" w:cs="Arial"/>
    </w:rPr>
  </w:style>
  <w:style w:type="character" w:customStyle="1" w:styleId="Aufzhlungszeichen1">
    <w:name w:val="Aufzählungszeichen1"/>
    <w:rsid w:val="00781B2F"/>
    <w:rPr>
      <w:rFonts w:ascii="OpenSymbol" w:eastAsia="OpenSymbol" w:hAnsi="OpenSymbol" w:cs="OpenSymbol"/>
    </w:rPr>
  </w:style>
  <w:style w:type="character" w:customStyle="1" w:styleId="ListLabel4">
    <w:name w:val="ListLabel 4"/>
    <w:rsid w:val="00781B2F"/>
    <w:rPr>
      <w:rFonts w:cs="Symbol"/>
    </w:rPr>
  </w:style>
  <w:style w:type="character" w:customStyle="1" w:styleId="ListLabel5">
    <w:name w:val="ListLabel 5"/>
    <w:rsid w:val="00781B2F"/>
    <w:rPr>
      <w:rFonts w:cs="Courier New"/>
    </w:rPr>
  </w:style>
  <w:style w:type="character" w:customStyle="1" w:styleId="ListLabel6">
    <w:name w:val="ListLabel 6"/>
    <w:rsid w:val="00781B2F"/>
    <w:rPr>
      <w:rFonts w:cs="Wingdings"/>
    </w:rPr>
  </w:style>
  <w:style w:type="character" w:customStyle="1" w:styleId="ListLabel7">
    <w:name w:val="ListLabel 7"/>
    <w:rsid w:val="00781B2F"/>
    <w:rPr>
      <w:rFonts w:ascii="Arial" w:hAnsi="Arial"/>
      <w:b/>
    </w:rPr>
  </w:style>
  <w:style w:type="character" w:customStyle="1" w:styleId="ListLabel8">
    <w:name w:val="ListLabel 8"/>
    <w:rsid w:val="00781B2F"/>
    <w:rPr>
      <w:rFonts w:cs="OpenSymbol"/>
    </w:rPr>
  </w:style>
  <w:style w:type="paragraph" w:customStyle="1" w:styleId="berschrift">
    <w:name w:val="Überschrift"/>
    <w:basedOn w:val="Standard"/>
    <w:next w:val="Textkrper"/>
    <w:rsid w:val="00781B2F"/>
    <w:pPr>
      <w:keepNext/>
      <w:spacing w:before="240" w:after="120"/>
    </w:pPr>
    <w:rPr>
      <w:rFonts w:ascii="Arial" w:eastAsia="Microsoft YaHei" w:hAnsi="Arial" w:cs="Mangal"/>
      <w:sz w:val="28"/>
      <w:szCs w:val="28"/>
    </w:rPr>
  </w:style>
  <w:style w:type="paragraph" w:styleId="Textkrper">
    <w:name w:val="Body Text"/>
    <w:basedOn w:val="Standard"/>
    <w:rsid w:val="00781B2F"/>
    <w:pPr>
      <w:spacing w:after="120"/>
    </w:pPr>
    <w:rPr>
      <w:rFonts w:ascii="Arial" w:hAnsi="Arial" w:cs="Arial"/>
      <w:sz w:val="22"/>
    </w:rPr>
  </w:style>
  <w:style w:type="paragraph" w:styleId="Liste">
    <w:name w:val="List"/>
    <w:basedOn w:val="Textkrper"/>
    <w:rsid w:val="00781B2F"/>
    <w:rPr>
      <w:rFonts w:cs="Mangal"/>
    </w:rPr>
  </w:style>
  <w:style w:type="paragraph" w:styleId="Beschriftung">
    <w:name w:val="caption"/>
    <w:basedOn w:val="Standard"/>
    <w:rsid w:val="00781B2F"/>
    <w:pPr>
      <w:suppressLineNumbers/>
      <w:spacing w:before="120" w:after="120"/>
    </w:pPr>
    <w:rPr>
      <w:rFonts w:cs="Mangal"/>
      <w:i/>
      <w:iCs/>
    </w:rPr>
  </w:style>
  <w:style w:type="paragraph" w:customStyle="1" w:styleId="Verzeichnis">
    <w:name w:val="Verzeichnis"/>
    <w:basedOn w:val="Standard"/>
    <w:rsid w:val="00781B2F"/>
    <w:pPr>
      <w:suppressLineNumbers/>
    </w:pPr>
    <w:rPr>
      <w:rFonts w:cs="Mangal"/>
    </w:rPr>
  </w:style>
  <w:style w:type="paragraph" w:styleId="Kopfzeile">
    <w:name w:val="header"/>
    <w:basedOn w:val="Standard"/>
    <w:rsid w:val="00781B2F"/>
    <w:pPr>
      <w:tabs>
        <w:tab w:val="center" w:pos="4536"/>
        <w:tab w:val="right" w:pos="9072"/>
      </w:tabs>
    </w:pPr>
  </w:style>
  <w:style w:type="paragraph" w:styleId="Fuzeile">
    <w:name w:val="footer"/>
    <w:basedOn w:val="Standard"/>
    <w:uiPriority w:val="99"/>
    <w:rsid w:val="00781B2F"/>
    <w:pPr>
      <w:tabs>
        <w:tab w:val="center" w:pos="4536"/>
        <w:tab w:val="right" w:pos="9072"/>
      </w:tabs>
    </w:pPr>
  </w:style>
  <w:style w:type="paragraph" w:customStyle="1" w:styleId="TextkrperEinrckung">
    <w:name w:val="Textkörper Einrückung"/>
    <w:basedOn w:val="Standard"/>
    <w:rsid w:val="00781B2F"/>
    <w:pPr>
      <w:spacing w:after="120"/>
      <w:ind w:left="2198" w:hanging="1484"/>
    </w:pPr>
    <w:rPr>
      <w:rFonts w:ascii="Arial" w:hAnsi="Arial" w:cs="Arial"/>
    </w:rPr>
  </w:style>
  <w:style w:type="paragraph" w:customStyle="1" w:styleId="pit">
    <w:name w:val="pit"/>
    <w:basedOn w:val="Standard"/>
    <w:rsid w:val="00781B2F"/>
    <w:pPr>
      <w:tabs>
        <w:tab w:val="left" w:pos="0"/>
        <w:tab w:val="left" w:pos="1418"/>
        <w:tab w:val="center" w:pos="4536"/>
        <w:tab w:val="right" w:pos="9072"/>
      </w:tabs>
      <w:jc w:val="both"/>
    </w:pPr>
  </w:style>
  <w:style w:type="paragraph" w:styleId="Listenabsatz">
    <w:name w:val="List Paragraph"/>
    <w:basedOn w:val="Standard"/>
    <w:rsid w:val="00781B2F"/>
    <w:pPr>
      <w:ind w:left="708"/>
    </w:pPr>
  </w:style>
  <w:style w:type="paragraph" w:styleId="Sprechblasentext">
    <w:name w:val="Balloon Text"/>
    <w:basedOn w:val="Standard"/>
    <w:rsid w:val="00781B2F"/>
    <w:rPr>
      <w:rFonts w:ascii="Tahoma" w:hAnsi="Tahoma" w:cs="Tahoma"/>
      <w:sz w:val="16"/>
      <w:szCs w:val="16"/>
    </w:rPr>
  </w:style>
  <w:style w:type="table" w:styleId="Tabellenraster">
    <w:name w:val="Table Grid"/>
    <w:basedOn w:val="NormaleTabelle"/>
    <w:uiPriority w:val="59"/>
    <w:unhideWhenUsed/>
    <w:rsid w:val="00EB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98E"/>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5313">
      <w:bodyDiv w:val="1"/>
      <w:marLeft w:val="0"/>
      <w:marRight w:val="0"/>
      <w:marTop w:val="0"/>
      <w:marBottom w:val="0"/>
      <w:divBdr>
        <w:top w:val="none" w:sz="0" w:space="0" w:color="auto"/>
        <w:left w:val="none" w:sz="0" w:space="0" w:color="auto"/>
        <w:bottom w:val="none" w:sz="0" w:space="0" w:color="auto"/>
        <w:right w:val="none" w:sz="0" w:space="0" w:color="auto"/>
      </w:divBdr>
    </w:div>
    <w:div w:id="1117408740">
      <w:bodyDiv w:val="1"/>
      <w:marLeft w:val="0"/>
      <w:marRight w:val="0"/>
      <w:marTop w:val="0"/>
      <w:marBottom w:val="0"/>
      <w:divBdr>
        <w:top w:val="none" w:sz="0" w:space="0" w:color="auto"/>
        <w:left w:val="none" w:sz="0" w:space="0" w:color="auto"/>
        <w:bottom w:val="none" w:sz="0" w:space="0" w:color="auto"/>
        <w:right w:val="none" w:sz="0" w:space="0" w:color="auto"/>
      </w:divBdr>
    </w:div>
    <w:div w:id="1991208192">
      <w:bodyDiv w:val="1"/>
      <w:marLeft w:val="0"/>
      <w:marRight w:val="0"/>
      <w:marTop w:val="0"/>
      <w:marBottom w:val="0"/>
      <w:divBdr>
        <w:top w:val="none" w:sz="0" w:space="0" w:color="auto"/>
        <w:left w:val="none" w:sz="0" w:space="0" w:color="auto"/>
        <w:bottom w:val="none" w:sz="0" w:space="0" w:color="auto"/>
        <w:right w:val="none" w:sz="0" w:space="0" w:color="auto"/>
      </w:divBdr>
    </w:div>
    <w:div w:id="210006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70E5-6B36-4F91-92C2-62D8F1BA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5898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2024-02-11T07:34:00Z</dcterms:created>
  <dcterms:modified xsi:type="dcterms:W3CDTF">2024-02-11T07:39:00Z</dcterms:modified>
</cp:coreProperties>
</file>